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A470" w14:textId="64076026" w:rsidR="00F50D57" w:rsidRDefault="001204C1" w:rsidP="00087198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1204C1">
        <w:rPr>
          <w:rFonts w:ascii="Arial" w:hAnsi="Arial" w:cs="Arial"/>
          <w:b/>
          <w:i/>
          <w:iCs/>
          <w:sz w:val="18"/>
          <w:szCs w:val="18"/>
        </w:rPr>
        <w:t>In Vivo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E5896">
        <w:rPr>
          <w:rFonts w:ascii="Arial" w:hAnsi="Arial" w:cs="Arial"/>
          <w:b/>
          <w:sz w:val="18"/>
          <w:szCs w:val="18"/>
        </w:rPr>
        <w:t xml:space="preserve">Mouse </w:t>
      </w:r>
      <w:r w:rsidR="005B54CE">
        <w:rPr>
          <w:rFonts w:ascii="Arial" w:hAnsi="Arial" w:cs="Arial"/>
          <w:b/>
          <w:sz w:val="18"/>
          <w:szCs w:val="18"/>
        </w:rPr>
        <w:t xml:space="preserve">Metabolic </w:t>
      </w:r>
      <w:r w:rsidR="00F50D57" w:rsidRPr="005F217A">
        <w:rPr>
          <w:rFonts w:ascii="Arial" w:hAnsi="Arial" w:cs="Arial"/>
          <w:b/>
          <w:sz w:val="18"/>
          <w:szCs w:val="18"/>
        </w:rPr>
        <w:t>Service</w:t>
      </w:r>
      <w:r w:rsidR="005B54CE">
        <w:rPr>
          <w:rFonts w:ascii="Arial" w:hAnsi="Arial" w:cs="Arial"/>
          <w:b/>
          <w:sz w:val="18"/>
          <w:szCs w:val="18"/>
        </w:rPr>
        <w:t>s</w:t>
      </w:r>
      <w:r w:rsidR="00F50D57" w:rsidRPr="005F217A">
        <w:rPr>
          <w:rFonts w:ascii="Arial" w:hAnsi="Arial" w:cs="Arial"/>
          <w:b/>
          <w:sz w:val="18"/>
          <w:szCs w:val="18"/>
        </w:rPr>
        <w:t xml:space="preserve"> Request Form</w:t>
      </w:r>
      <w:r w:rsidR="005A072F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3927916"/>
      <w:proofErr w:type="gramStart"/>
      <w:r w:rsidR="005A072F">
        <w:rPr>
          <w:rFonts w:ascii="Arial" w:hAnsi="Arial" w:cs="Arial"/>
          <w:b/>
          <w:sz w:val="18"/>
          <w:szCs w:val="18"/>
        </w:rPr>
        <w:t>F</w:t>
      </w:r>
      <w:r w:rsidR="000A35F8">
        <w:rPr>
          <w:rFonts w:ascii="Arial" w:hAnsi="Arial" w:cs="Arial"/>
          <w:b/>
          <w:sz w:val="18"/>
          <w:szCs w:val="18"/>
        </w:rPr>
        <w:t>or</w:t>
      </w:r>
      <w:proofErr w:type="gramEnd"/>
      <w:r w:rsidR="000A35F8">
        <w:rPr>
          <w:rFonts w:ascii="Arial" w:hAnsi="Arial" w:cs="Arial"/>
          <w:b/>
          <w:sz w:val="18"/>
          <w:szCs w:val="18"/>
        </w:rPr>
        <w:t xml:space="preserve"> </w:t>
      </w:r>
      <w:r w:rsidR="00B56850">
        <w:rPr>
          <w:rFonts w:ascii="Arial" w:hAnsi="Arial" w:cs="Arial"/>
          <w:b/>
          <w:sz w:val="18"/>
          <w:szCs w:val="18"/>
        </w:rPr>
        <w:t>Academic</w:t>
      </w:r>
      <w:r w:rsidR="000A35F8">
        <w:rPr>
          <w:rFonts w:ascii="Arial" w:hAnsi="Arial" w:cs="Arial"/>
          <w:b/>
          <w:sz w:val="18"/>
          <w:szCs w:val="18"/>
        </w:rPr>
        <w:t xml:space="preserve"> Investigators</w:t>
      </w:r>
    </w:p>
    <w:p w14:paraId="48A3C906" w14:textId="77777777" w:rsidR="00087198" w:rsidRPr="005F217A" w:rsidRDefault="00087198" w:rsidP="00087198">
      <w:pPr>
        <w:jc w:val="center"/>
        <w:rPr>
          <w:rFonts w:ascii="Arial" w:hAnsi="Arial" w:cs="Arial"/>
          <w:b/>
          <w:sz w:val="18"/>
          <w:szCs w:val="18"/>
        </w:rPr>
      </w:pPr>
    </w:p>
    <w:bookmarkEnd w:id="1"/>
    <w:p w14:paraId="761C58C4" w14:textId="75CAA7EB" w:rsidR="00F50D57" w:rsidRPr="005A072F" w:rsidRDefault="00F50D57" w:rsidP="005A072F">
      <w:pPr>
        <w:rPr>
          <w:rFonts w:ascii="Arial" w:hAnsi="Arial" w:cs="Arial"/>
          <w:b/>
          <w:bCs/>
          <w:sz w:val="18"/>
          <w:szCs w:val="18"/>
        </w:rPr>
      </w:pPr>
      <w:r w:rsidRPr="005F217A">
        <w:rPr>
          <w:rFonts w:ascii="Arial" w:hAnsi="Arial" w:cs="Arial"/>
          <w:b/>
          <w:color w:val="FF0000"/>
          <w:sz w:val="18"/>
          <w:szCs w:val="18"/>
        </w:rPr>
        <w:t>Researcher's note:</w:t>
      </w:r>
      <w:r w:rsidRPr="005F217A">
        <w:rPr>
          <w:rFonts w:ascii="Arial" w:hAnsi="Arial" w:cs="Arial"/>
          <w:b/>
          <w:sz w:val="18"/>
          <w:szCs w:val="18"/>
        </w:rPr>
        <w:t xml:space="preserve"> Penn Diabetes Research Center </w:t>
      </w:r>
      <w:r w:rsidR="00D15AAE" w:rsidRPr="00D15AAE">
        <w:rPr>
          <w:rFonts w:ascii="Arial" w:hAnsi="Arial" w:cs="Arial"/>
          <w:b/>
          <w:bCs/>
          <w:sz w:val="18"/>
          <w:szCs w:val="18"/>
        </w:rPr>
        <w:t>Rodent Metabolic Phenotyping Core</w:t>
      </w:r>
      <w:r w:rsidR="005A072F">
        <w:rPr>
          <w:rFonts w:ascii="Arial" w:hAnsi="Arial" w:cs="Arial"/>
          <w:b/>
          <w:bCs/>
          <w:sz w:val="18"/>
          <w:szCs w:val="18"/>
        </w:rPr>
        <w:t xml:space="preserve"> </w:t>
      </w:r>
      <w:r w:rsidRPr="00D15AAE">
        <w:rPr>
          <w:rFonts w:ascii="Arial" w:hAnsi="Arial" w:cs="Arial"/>
          <w:b/>
          <w:sz w:val="18"/>
          <w:szCs w:val="18"/>
        </w:rPr>
        <w:t>users</w:t>
      </w:r>
      <w:r w:rsidRPr="005F217A">
        <w:rPr>
          <w:rFonts w:ascii="Arial" w:hAnsi="Arial" w:cs="Arial"/>
          <w:b/>
          <w:sz w:val="18"/>
          <w:szCs w:val="18"/>
        </w:rPr>
        <w:t xml:space="preserve"> should arrange for the transfer of their </w:t>
      </w:r>
      <w:r w:rsidR="00D15AAE">
        <w:rPr>
          <w:rFonts w:ascii="Arial" w:hAnsi="Arial" w:cs="Arial"/>
          <w:b/>
          <w:sz w:val="18"/>
          <w:szCs w:val="18"/>
        </w:rPr>
        <w:t>animals</w:t>
      </w:r>
      <w:r w:rsidRPr="005F217A">
        <w:rPr>
          <w:rFonts w:ascii="Arial" w:hAnsi="Arial" w:cs="Arial"/>
          <w:b/>
          <w:sz w:val="18"/>
          <w:szCs w:val="18"/>
        </w:rPr>
        <w:t xml:space="preserve"> to the </w:t>
      </w:r>
      <w:r w:rsidR="00D15AAE">
        <w:rPr>
          <w:rFonts w:ascii="Arial" w:hAnsi="Arial" w:cs="Arial"/>
          <w:b/>
          <w:sz w:val="18"/>
          <w:szCs w:val="18"/>
        </w:rPr>
        <w:t>RMP</w:t>
      </w:r>
      <w:r w:rsidR="000A35F8">
        <w:rPr>
          <w:rFonts w:ascii="Arial" w:hAnsi="Arial" w:cs="Arial"/>
          <w:b/>
          <w:sz w:val="18"/>
          <w:szCs w:val="18"/>
        </w:rPr>
        <w:t>C</w:t>
      </w:r>
      <w:r w:rsidR="00D15AAE">
        <w:rPr>
          <w:rFonts w:ascii="Arial" w:hAnsi="Arial" w:cs="Arial"/>
          <w:b/>
          <w:sz w:val="18"/>
          <w:szCs w:val="18"/>
        </w:rPr>
        <w:t xml:space="preserve"> </w:t>
      </w:r>
      <w:r w:rsidRPr="005F217A">
        <w:rPr>
          <w:rFonts w:ascii="Arial" w:hAnsi="Arial" w:cs="Arial"/>
          <w:b/>
          <w:sz w:val="18"/>
          <w:szCs w:val="18"/>
        </w:rPr>
        <w:t xml:space="preserve">protocol #804474, using the ULAR transfer form. </w:t>
      </w:r>
      <w:r w:rsidR="00D15AAE">
        <w:rPr>
          <w:rFonts w:ascii="Arial" w:hAnsi="Arial" w:cs="Arial"/>
          <w:b/>
          <w:sz w:val="18"/>
          <w:szCs w:val="18"/>
        </w:rPr>
        <w:t>RMP</w:t>
      </w:r>
      <w:r w:rsidR="000A35F8">
        <w:rPr>
          <w:rFonts w:ascii="Arial" w:hAnsi="Arial" w:cs="Arial"/>
          <w:b/>
          <w:sz w:val="18"/>
          <w:szCs w:val="18"/>
        </w:rPr>
        <w:t xml:space="preserve">C </w:t>
      </w:r>
      <w:r w:rsidRPr="005F217A">
        <w:rPr>
          <w:rFonts w:ascii="Arial" w:hAnsi="Arial" w:cs="Arial"/>
          <w:b/>
          <w:sz w:val="18"/>
          <w:szCs w:val="18"/>
        </w:rPr>
        <w:t>users will be billed for per diem costs</w:t>
      </w:r>
      <w:r w:rsidR="005F217A" w:rsidRPr="005F217A">
        <w:rPr>
          <w:rFonts w:ascii="Arial" w:hAnsi="Arial" w:cs="Arial"/>
          <w:b/>
          <w:sz w:val="18"/>
          <w:szCs w:val="18"/>
        </w:rPr>
        <w:t xml:space="preserve">. </w:t>
      </w:r>
      <w:r w:rsidRPr="005F217A">
        <w:rPr>
          <w:rFonts w:ascii="Arial" w:hAnsi="Arial" w:cs="Arial"/>
          <w:b/>
          <w:sz w:val="18"/>
          <w:szCs w:val="18"/>
        </w:rPr>
        <w:t xml:space="preserve">Please contact the Technical Director, </w:t>
      </w:r>
      <w:r w:rsidR="00830DEE" w:rsidRPr="005F217A">
        <w:rPr>
          <w:rFonts w:ascii="Arial" w:hAnsi="Arial" w:cs="Arial"/>
          <w:b/>
          <w:sz w:val="18"/>
          <w:szCs w:val="18"/>
        </w:rPr>
        <w:t xml:space="preserve">Jennifer Rojas at </w:t>
      </w:r>
      <w:hyperlink r:id="rId8" w:history="1">
        <w:r w:rsidR="00830DEE" w:rsidRPr="005F217A">
          <w:rPr>
            <w:rStyle w:val="Hyperlink"/>
            <w:rFonts w:ascii="Arial" w:hAnsi="Arial" w:cs="Arial"/>
            <w:b/>
            <w:sz w:val="18"/>
            <w:szCs w:val="18"/>
          </w:rPr>
          <w:t>Jennifer.Rojas@pennmedicine.upenn.edu</w:t>
        </w:r>
      </w:hyperlink>
      <w:r w:rsidR="00830DEE" w:rsidRPr="005F217A">
        <w:rPr>
          <w:rFonts w:ascii="Arial" w:hAnsi="Arial" w:cs="Arial"/>
          <w:b/>
          <w:sz w:val="18"/>
          <w:szCs w:val="18"/>
        </w:rPr>
        <w:t xml:space="preserve">. </w:t>
      </w:r>
    </w:p>
    <w:p w14:paraId="38864F9D" w14:textId="77777777" w:rsidR="00F50D57" w:rsidRPr="005F217A" w:rsidRDefault="00F50D57" w:rsidP="00F50D57">
      <w:pPr>
        <w:rPr>
          <w:rFonts w:ascii="Arial" w:hAnsi="Arial" w:cs="Arial"/>
          <w:sz w:val="18"/>
          <w:szCs w:val="18"/>
        </w:rPr>
      </w:pPr>
    </w:p>
    <w:tbl>
      <w:tblPr>
        <w:tblW w:w="999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5400"/>
      </w:tblGrid>
      <w:tr w:rsidR="00F50D57" w:rsidRPr="005F217A" w14:paraId="6714056F" w14:textId="77777777" w:rsidTr="00541F4C">
        <w:trPr>
          <w:trHeight w:val="341"/>
        </w:trPr>
        <w:tc>
          <w:tcPr>
            <w:tcW w:w="4590" w:type="dxa"/>
            <w:shd w:val="clear" w:color="auto" w:fill="auto"/>
          </w:tcPr>
          <w:p w14:paraId="13A90FFB" w14:textId="77777777" w:rsidR="00F50D57" w:rsidRPr="005F217A" w:rsidRDefault="00F50D57" w:rsidP="00F50D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217A">
              <w:rPr>
                <w:rFonts w:ascii="Arial" w:hAnsi="Arial" w:cs="Arial"/>
                <w:b/>
                <w:sz w:val="18"/>
                <w:szCs w:val="18"/>
              </w:rPr>
              <w:t>Lab/PI:</w:t>
            </w:r>
          </w:p>
        </w:tc>
        <w:tc>
          <w:tcPr>
            <w:tcW w:w="5400" w:type="dxa"/>
            <w:shd w:val="clear" w:color="auto" w:fill="auto"/>
          </w:tcPr>
          <w:p w14:paraId="57D6D0C5" w14:textId="77777777" w:rsidR="00F50D57" w:rsidRPr="005F217A" w:rsidRDefault="00F50D57" w:rsidP="00F50D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217A">
              <w:rPr>
                <w:rFonts w:ascii="Arial" w:hAnsi="Arial" w:cs="Arial"/>
                <w:b/>
                <w:sz w:val="18"/>
                <w:szCs w:val="18"/>
              </w:rPr>
              <w:t>Requestor:</w:t>
            </w:r>
          </w:p>
        </w:tc>
      </w:tr>
      <w:tr w:rsidR="00F50D57" w:rsidRPr="005F217A" w14:paraId="68F6443E" w14:textId="77777777" w:rsidTr="00541F4C">
        <w:trPr>
          <w:trHeight w:val="422"/>
        </w:trPr>
        <w:tc>
          <w:tcPr>
            <w:tcW w:w="4590" w:type="dxa"/>
            <w:shd w:val="clear" w:color="auto" w:fill="auto"/>
          </w:tcPr>
          <w:p w14:paraId="0621546F" w14:textId="77777777" w:rsidR="00F50D57" w:rsidRPr="005F217A" w:rsidRDefault="00F50D57" w:rsidP="00F50D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217A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5400" w:type="dxa"/>
            <w:shd w:val="clear" w:color="auto" w:fill="auto"/>
          </w:tcPr>
          <w:p w14:paraId="47B0E963" w14:textId="77777777" w:rsidR="00F50D57" w:rsidRPr="005F217A" w:rsidRDefault="00F50D57" w:rsidP="00F50D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217A">
              <w:rPr>
                <w:rFonts w:ascii="Arial" w:hAnsi="Arial" w:cs="Arial"/>
                <w:b/>
                <w:sz w:val="18"/>
                <w:szCs w:val="18"/>
              </w:rPr>
              <w:t>Request Date:</w:t>
            </w:r>
          </w:p>
        </w:tc>
      </w:tr>
      <w:tr w:rsidR="00F50D57" w:rsidRPr="005F217A" w14:paraId="0A2696D1" w14:textId="77777777" w:rsidTr="00541F4C">
        <w:trPr>
          <w:trHeight w:val="422"/>
        </w:trPr>
        <w:tc>
          <w:tcPr>
            <w:tcW w:w="4590" w:type="dxa"/>
            <w:shd w:val="clear" w:color="auto" w:fill="auto"/>
          </w:tcPr>
          <w:p w14:paraId="4AA4F117" w14:textId="77777777" w:rsidR="00F50D57" w:rsidRPr="005F217A" w:rsidRDefault="00F50D57" w:rsidP="00F50D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217A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5400" w:type="dxa"/>
            <w:shd w:val="clear" w:color="auto" w:fill="auto"/>
          </w:tcPr>
          <w:p w14:paraId="34C1CEC8" w14:textId="77777777" w:rsidR="00F50D57" w:rsidRPr="005F217A" w:rsidRDefault="00F50D57" w:rsidP="00F50D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217A">
              <w:rPr>
                <w:rFonts w:ascii="Arial" w:hAnsi="Arial" w:cs="Arial"/>
                <w:b/>
                <w:sz w:val="18"/>
                <w:szCs w:val="18"/>
              </w:rPr>
              <w:t>Account Number:</w:t>
            </w:r>
          </w:p>
        </w:tc>
      </w:tr>
    </w:tbl>
    <w:p w14:paraId="12C86C4D" w14:textId="77777777" w:rsidR="00F50D57" w:rsidRPr="005F217A" w:rsidRDefault="00F50D57" w:rsidP="00F50D57">
      <w:pPr>
        <w:rPr>
          <w:rFonts w:ascii="Arial" w:hAnsi="Arial" w:cs="Arial"/>
          <w:sz w:val="18"/>
          <w:szCs w:val="18"/>
        </w:rPr>
      </w:pPr>
    </w:p>
    <w:p w14:paraId="67DB8FC2" w14:textId="00ED8826" w:rsidR="005B54CE" w:rsidRDefault="00F50D57" w:rsidP="002A2B69">
      <w:pPr>
        <w:rPr>
          <w:rFonts w:ascii="Arial" w:hAnsi="Arial" w:cs="Arial"/>
          <w:b/>
          <w:bCs/>
          <w:sz w:val="18"/>
          <w:szCs w:val="18"/>
        </w:rPr>
      </w:pPr>
      <w:bookmarkStart w:id="2" w:name="_Hlk14530429"/>
      <w:r w:rsidRPr="00D15AAE">
        <w:rPr>
          <w:rFonts w:ascii="Arial" w:hAnsi="Arial" w:cs="Arial"/>
          <w:b/>
          <w:bCs/>
          <w:sz w:val="18"/>
          <w:szCs w:val="18"/>
        </w:rPr>
        <w:t xml:space="preserve">Please consider your experimental design before submitting your request—if you require </w:t>
      </w:r>
      <w:r w:rsidR="008B3B60">
        <w:rPr>
          <w:rFonts w:ascii="Arial" w:hAnsi="Arial" w:cs="Arial"/>
          <w:b/>
          <w:bCs/>
          <w:sz w:val="18"/>
          <w:szCs w:val="18"/>
        </w:rPr>
        <w:t xml:space="preserve">a </w:t>
      </w:r>
      <w:r w:rsidRPr="00D15AAE">
        <w:rPr>
          <w:rFonts w:ascii="Arial" w:hAnsi="Arial" w:cs="Arial"/>
          <w:b/>
          <w:bCs/>
          <w:sz w:val="18"/>
          <w:szCs w:val="18"/>
        </w:rPr>
        <w:t xml:space="preserve">certain test to be done within a </w:t>
      </w:r>
      <w:r w:rsidR="006B4629">
        <w:rPr>
          <w:rFonts w:ascii="Arial" w:hAnsi="Arial" w:cs="Arial"/>
          <w:b/>
          <w:bCs/>
          <w:sz w:val="18"/>
          <w:szCs w:val="18"/>
        </w:rPr>
        <w:t xml:space="preserve">specific </w:t>
      </w:r>
      <w:r w:rsidRPr="00D15AAE">
        <w:rPr>
          <w:rFonts w:ascii="Arial" w:hAnsi="Arial" w:cs="Arial"/>
          <w:b/>
          <w:bCs/>
          <w:sz w:val="18"/>
          <w:szCs w:val="18"/>
        </w:rPr>
        <w:t xml:space="preserve">time frame, please notify us in advance. </w:t>
      </w:r>
      <w:bookmarkStart w:id="3" w:name="_Hlk28520378"/>
      <w:bookmarkEnd w:id="2"/>
    </w:p>
    <w:p w14:paraId="2F1CD111" w14:textId="4D15D39D" w:rsidR="00D16B29" w:rsidRPr="005B54CE" w:rsidRDefault="00D16B29" w:rsidP="002A2B6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  <w:gridCol w:w="1890"/>
        <w:gridCol w:w="2430"/>
      </w:tblGrid>
      <w:tr w:rsidR="00D16B29" w:rsidRPr="005F217A" w14:paraId="4CA95561" w14:textId="77777777" w:rsidTr="007F4689">
        <w:trPr>
          <w:trHeight w:val="239"/>
        </w:trPr>
        <w:tc>
          <w:tcPr>
            <w:tcW w:w="1000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383A6F8" w14:textId="52BD8EA3" w:rsidR="00D16B29" w:rsidRDefault="00D16B29" w:rsidP="00F61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Energy Homeostasis:</w:t>
            </w:r>
          </w:p>
        </w:tc>
      </w:tr>
      <w:tr w:rsidR="00CE5896" w:rsidRPr="005F217A" w14:paraId="24B2ED5E" w14:textId="77777777" w:rsidTr="007F4689">
        <w:trPr>
          <w:trHeight w:val="422"/>
        </w:trPr>
        <w:tc>
          <w:tcPr>
            <w:tcW w:w="4068" w:type="dxa"/>
            <w:tcBorders>
              <w:bottom w:val="single" w:sz="12" w:space="0" w:color="auto"/>
            </w:tcBorders>
            <w:shd w:val="clear" w:color="auto" w:fill="auto"/>
          </w:tcPr>
          <w:p w14:paraId="6E090C01" w14:textId="0C33081E" w:rsidR="00CE5896" w:rsidRPr="005F217A" w:rsidRDefault="00CE5896" w:rsidP="00F61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17A">
              <w:rPr>
                <w:rFonts w:ascii="Arial" w:hAnsi="Arial" w:cs="Arial"/>
                <w:sz w:val="18"/>
                <w:szCs w:val="18"/>
              </w:rPr>
              <w:t>Assay</w:t>
            </w:r>
            <w:r>
              <w:rPr>
                <w:rFonts w:ascii="Arial" w:hAnsi="Arial" w:cs="Arial"/>
                <w:sz w:val="18"/>
                <w:szCs w:val="18"/>
              </w:rPr>
              <w:t>s for mice</w:t>
            </w:r>
          </w:p>
          <w:p w14:paraId="6C1E827D" w14:textId="77777777" w:rsidR="00CE5896" w:rsidRPr="005F217A" w:rsidRDefault="00CE5896" w:rsidP="00E60D09">
            <w:pPr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14:paraId="6980F204" w14:textId="5F3D6010" w:rsidR="00CE5896" w:rsidRPr="005F217A" w:rsidRDefault="00CE5896" w:rsidP="00F61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 number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12D15FFE" w14:textId="6C2CF591" w:rsidR="00CE5896" w:rsidRPr="005F217A" w:rsidRDefault="00CE5896" w:rsidP="00F61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 per mouse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14:paraId="17511481" w14:textId="34C0C6FB" w:rsidR="00CE5896" w:rsidRPr="005F217A" w:rsidRDefault="00CE5896" w:rsidP="00F61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bookmarkEnd w:id="3"/>
      <w:tr w:rsidR="00CE5896" w:rsidRPr="00025262" w14:paraId="3AFE8C7C" w14:textId="77777777" w:rsidTr="007F4689">
        <w:trPr>
          <w:trHeight w:val="260"/>
        </w:trPr>
        <w:tc>
          <w:tcPr>
            <w:tcW w:w="4068" w:type="dxa"/>
            <w:shd w:val="clear" w:color="auto" w:fill="auto"/>
          </w:tcPr>
          <w:p w14:paraId="30480263" w14:textId="6DEDA53A" w:rsidR="00CE5896" w:rsidRPr="00025262" w:rsidRDefault="00CE5896" w:rsidP="00087198">
            <w:pPr>
              <w:rPr>
                <w:rFonts w:ascii="Arial" w:hAnsi="Arial" w:cs="Arial"/>
                <w:sz w:val="18"/>
                <w:szCs w:val="18"/>
              </w:rPr>
            </w:pPr>
            <w:r w:rsidRPr="00025262">
              <w:rPr>
                <w:rFonts w:ascii="Arial" w:hAnsi="Arial" w:cs="Arial"/>
                <w:sz w:val="18"/>
                <w:szCs w:val="18"/>
              </w:rPr>
              <w:t>NMR (Body fat, lean mass, body water)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25262">
              <w:rPr>
                <w:rFonts w:ascii="Arial" w:hAnsi="Arial" w:cs="Arial"/>
                <w:sz w:val="18"/>
                <w:szCs w:val="18"/>
              </w:rPr>
              <w:t xml:space="preserve"> *Performed on live, un-anesthetized animals</w:t>
            </w:r>
          </w:p>
        </w:tc>
        <w:tc>
          <w:tcPr>
            <w:tcW w:w="1620" w:type="dxa"/>
            <w:shd w:val="clear" w:color="auto" w:fill="auto"/>
          </w:tcPr>
          <w:p w14:paraId="55904EE7" w14:textId="77777777" w:rsidR="00CE5896" w:rsidRPr="00025262" w:rsidRDefault="00CE5896" w:rsidP="00F6116E">
            <w:pPr>
              <w:tabs>
                <w:tab w:val="left" w:pos="750"/>
              </w:tabs>
              <w:rPr>
                <w:rFonts w:ascii="Arial" w:hAnsi="Arial" w:cs="Arial"/>
                <w:sz w:val="18"/>
                <w:szCs w:val="18"/>
              </w:rPr>
            </w:pPr>
            <w:r w:rsidRPr="0002526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890" w:type="dxa"/>
            <w:shd w:val="clear" w:color="auto" w:fill="auto"/>
          </w:tcPr>
          <w:p w14:paraId="1C2FE3F0" w14:textId="24D7489B" w:rsidR="00CE5896" w:rsidRPr="00025262" w:rsidRDefault="00CE5896" w:rsidP="00087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262">
              <w:rPr>
                <w:rFonts w:ascii="Arial" w:hAnsi="Arial" w:cs="Arial"/>
                <w:sz w:val="18"/>
                <w:szCs w:val="18"/>
              </w:rPr>
              <w:t>$40</w:t>
            </w:r>
          </w:p>
        </w:tc>
        <w:tc>
          <w:tcPr>
            <w:tcW w:w="2430" w:type="dxa"/>
            <w:shd w:val="clear" w:color="auto" w:fill="auto"/>
          </w:tcPr>
          <w:p w14:paraId="744836DD" w14:textId="3EECD949" w:rsidR="00CE5896" w:rsidRPr="00025262" w:rsidRDefault="00CE5896" w:rsidP="00087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DA0" w:rsidRPr="00025262" w14:paraId="1C623DD3" w14:textId="77777777" w:rsidTr="007F4689">
        <w:trPr>
          <w:trHeight w:val="260"/>
        </w:trPr>
        <w:tc>
          <w:tcPr>
            <w:tcW w:w="4068" w:type="dxa"/>
            <w:shd w:val="clear" w:color="auto" w:fill="auto"/>
          </w:tcPr>
          <w:p w14:paraId="5356D791" w14:textId="0652F871" w:rsidR="003A3DA0" w:rsidRPr="00025262" w:rsidRDefault="002A118B" w:rsidP="000871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NMR (performed by investigator)</w:t>
            </w:r>
          </w:p>
        </w:tc>
        <w:tc>
          <w:tcPr>
            <w:tcW w:w="1620" w:type="dxa"/>
            <w:shd w:val="clear" w:color="auto" w:fill="auto"/>
          </w:tcPr>
          <w:p w14:paraId="4598AB52" w14:textId="77777777" w:rsidR="003A3DA0" w:rsidRPr="00025262" w:rsidRDefault="003A3DA0" w:rsidP="00F6116E">
            <w:pPr>
              <w:tabs>
                <w:tab w:val="left" w:pos="7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0CF133DF" w14:textId="6AB7A5DC" w:rsidR="003A3DA0" w:rsidRPr="00025262" w:rsidRDefault="002A118B" w:rsidP="00087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$25*</w:t>
            </w:r>
          </w:p>
        </w:tc>
        <w:tc>
          <w:tcPr>
            <w:tcW w:w="2430" w:type="dxa"/>
            <w:shd w:val="clear" w:color="auto" w:fill="auto"/>
          </w:tcPr>
          <w:p w14:paraId="1C5FA5A4" w14:textId="77777777" w:rsidR="003A3DA0" w:rsidRPr="00025262" w:rsidRDefault="003A3DA0" w:rsidP="00087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DA0" w:rsidRPr="00025262" w14:paraId="30CCA132" w14:textId="77777777" w:rsidTr="007F4689">
        <w:trPr>
          <w:trHeight w:val="260"/>
        </w:trPr>
        <w:tc>
          <w:tcPr>
            <w:tcW w:w="4068" w:type="dxa"/>
            <w:shd w:val="clear" w:color="auto" w:fill="auto"/>
          </w:tcPr>
          <w:p w14:paraId="035F4BF3" w14:textId="1A4A88EF" w:rsidR="003A3DA0" w:rsidRDefault="002A118B" w:rsidP="000871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*Requires training on use of NMR system</w:t>
            </w:r>
          </w:p>
        </w:tc>
        <w:tc>
          <w:tcPr>
            <w:tcW w:w="1620" w:type="dxa"/>
            <w:shd w:val="clear" w:color="auto" w:fill="auto"/>
          </w:tcPr>
          <w:p w14:paraId="79F16DAF" w14:textId="77777777" w:rsidR="003A3DA0" w:rsidRPr="00025262" w:rsidRDefault="003A3DA0" w:rsidP="00F6116E">
            <w:pPr>
              <w:tabs>
                <w:tab w:val="left" w:pos="7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3E09CC8F" w14:textId="57AD1EB4" w:rsidR="003A3DA0" w:rsidRDefault="002A118B" w:rsidP="00087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$50 one-time fee</w:t>
            </w:r>
          </w:p>
        </w:tc>
        <w:tc>
          <w:tcPr>
            <w:tcW w:w="2430" w:type="dxa"/>
            <w:shd w:val="clear" w:color="auto" w:fill="auto"/>
          </w:tcPr>
          <w:p w14:paraId="18F958B4" w14:textId="77777777" w:rsidR="003A3DA0" w:rsidRPr="00025262" w:rsidRDefault="003A3DA0" w:rsidP="00087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896" w:rsidRPr="00025262" w14:paraId="442C6C39" w14:textId="77777777" w:rsidTr="007F4689">
        <w:trPr>
          <w:trHeight w:val="287"/>
        </w:trPr>
        <w:tc>
          <w:tcPr>
            <w:tcW w:w="4068" w:type="dxa"/>
            <w:shd w:val="clear" w:color="auto" w:fill="auto"/>
          </w:tcPr>
          <w:p w14:paraId="5117AFCD" w14:textId="3873FE82" w:rsidR="00CE5896" w:rsidRPr="00025262" w:rsidRDefault="00CE5896" w:rsidP="00087198">
            <w:pPr>
              <w:rPr>
                <w:rFonts w:ascii="Arial" w:hAnsi="Arial" w:cs="Arial"/>
                <w:sz w:val="18"/>
                <w:szCs w:val="18"/>
              </w:rPr>
            </w:pPr>
            <w:r w:rsidRPr="00025262">
              <w:rPr>
                <w:rFonts w:ascii="Arial" w:hAnsi="Arial" w:cs="Arial"/>
                <w:sz w:val="18"/>
                <w:szCs w:val="18"/>
              </w:rPr>
              <w:t>DEXA (Body fat, lean mass, bone mass)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025262">
              <w:rPr>
                <w:rFonts w:ascii="Arial" w:hAnsi="Arial" w:cs="Arial"/>
                <w:sz w:val="18"/>
                <w:szCs w:val="18"/>
              </w:rPr>
              <w:t>*Performed on anesthetized animals</w:t>
            </w:r>
          </w:p>
        </w:tc>
        <w:tc>
          <w:tcPr>
            <w:tcW w:w="1620" w:type="dxa"/>
            <w:shd w:val="clear" w:color="auto" w:fill="auto"/>
          </w:tcPr>
          <w:p w14:paraId="14C03E1E" w14:textId="77777777" w:rsidR="00CE5896" w:rsidRPr="00025262" w:rsidRDefault="00CE5896" w:rsidP="00F611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2E1BB4EE" w14:textId="72091B7A" w:rsidR="00CE5896" w:rsidRPr="00025262" w:rsidRDefault="00CE5896" w:rsidP="00087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262">
              <w:rPr>
                <w:rFonts w:ascii="Arial" w:hAnsi="Arial" w:cs="Arial"/>
                <w:sz w:val="18"/>
                <w:szCs w:val="18"/>
              </w:rPr>
              <w:t>$50</w:t>
            </w:r>
          </w:p>
        </w:tc>
        <w:tc>
          <w:tcPr>
            <w:tcW w:w="2430" w:type="dxa"/>
            <w:shd w:val="clear" w:color="auto" w:fill="auto"/>
          </w:tcPr>
          <w:p w14:paraId="77F8D27E" w14:textId="1F58A61B" w:rsidR="00CE5896" w:rsidRPr="00025262" w:rsidRDefault="00CE5896" w:rsidP="00087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4D1" w:rsidRPr="00025262" w14:paraId="1F57747D" w14:textId="77777777" w:rsidTr="007F4689">
        <w:trPr>
          <w:trHeight w:val="287"/>
        </w:trPr>
        <w:tc>
          <w:tcPr>
            <w:tcW w:w="10008" w:type="dxa"/>
            <w:gridSpan w:val="4"/>
            <w:shd w:val="clear" w:color="auto" w:fill="auto"/>
            <w:vAlign w:val="center"/>
          </w:tcPr>
          <w:p w14:paraId="3B78AB7B" w14:textId="146A9060" w:rsidR="006444D1" w:rsidRPr="00025262" w:rsidRDefault="006444D1" w:rsidP="00644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53C">
              <w:rPr>
                <w:rFonts w:ascii="Arial" w:hAnsi="Arial" w:cs="Arial"/>
                <w:b/>
                <w:bCs/>
                <w:sz w:val="18"/>
                <w:szCs w:val="18"/>
              </w:rPr>
              <w:t>Columbus Instruments Comprehensive Lab Animal Monitoring System (CLAMS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): </w:t>
            </w:r>
            <w:r w:rsidRPr="00F63310">
              <w:rPr>
                <w:rFonts w:ascii="Arial" w:hAnsi="Arial" w:cs="Arial"/>
                <w:sz w:val="18"/>
                <w:szCs w:val="18"/>
              </w:rPr>
              <w:t>20 cage thermal cabinet system with center feeder presenting powdered food and automated watering system.</w:t>
            </w:r>
          </w:p>
        </w:tc>
      </w:tr>
      <w:tr w:rsidR="006444D1" w:rsidRPr="00025262" w14:paraId="00381FAA" w14:textId="77777777" w:rsidTr="007F4689">
        <w:trPr>
          <w:trHeight w:val="287"/>
        </w:trPr>
        <w:tc>
          <w:tcPr>
            <w:tcW w:w="4068" w:type="dxa"/>
            <w:shd w:val="clear" w:color="auto" w:fill="auto"/>
          </w:tcPr>
          <w:p w14:paraId="3E093EA8" w14:textId="4745B4FE" w:rsidR="006444D1" w:rsidRPr="00025262" w:rsidRDefault="006444D1" w:rsidP="006444D1">
            <w:pPr>
              <w:rPr>
                <w:rFonts w:ascii="Arial" w:hAnsi="Arial" w:cs="Arial"/>
                <w:sz w:val="18"/>
                <w:szCs w:val="18"/>
              </w:rPr>
            </w:pPr>
            <w:r w:rsidRPr="006444D1">
              <w:rPr>
                <w:rFonts w:ascii="Arial" w:hAnsi="Arial" w:cs="Arial"/>
                <w:b/>
                <w:bCs/>
                <w:sz w:val="18"/>
                <w:szCs w:val="18"/>
              </w:rPr>
              <w:t>Standard Service:</w:t>
            </w:r>
            <w:r w:rsidRPr="006444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444D1">
              <w:rPr>
                <w:rFonts w:ascii="Arial" w:hAnsi="Arial" w:cs="Arial"/>
                <w:sz w:val="18"/>
                <w:szCs w:val="18"/>
              </w:rPr>
              <w:t>1 day</w:t>
            </w:r>
            <w:proofErr w:type="gramEnd"/>
            <w:r w:rsidRPr="006444D1">
              <w:rPr>
                <w:rFonts w:ascii="Arial" w:hAnsi="Arial" w:cs="Arial"/>
                <w:sz w:val="18"/>
                <w:szCs w:val="18"/>
              </w:rPr>
              <w:t xml:space="preserve"> acclimation + 2 days of metabolic measurements: VCO2, VO2, energy expenditure (heat), substrate utilization (RQ), food and water intake, ambulatory and locomotor activity. Includes NMR body composition measurement. Raw data CSV files and </w:t>
            </w:r>
            <w:proofErr w:type="spellStart"/>
            <w:r w:rsidRPr="006444D1">
              <w:rPr>
                <w:rFonts w:ascii="Arial" w:hAnsi="Arial" w:cs="Arial"/>
                <w:sz w:val="18"/>
                <w:szCs w:val="18"/>
              </w:rPr>
              <w:t>Calr</w:t>
            </w:r>
            <w:proofErr w:type="spellEnd"/>
            <w:r w:rsidRPr="006444D1">
              <w:rPr>
                <w:rFonts w:ascii="Arial" w:hAnsi="Arial" w:cs="Arial"/>
                <w:sz w:val="18"/>
                <w:szCs w:val="18"/>
              </w:rPr>
              <w:t xml:space="preserve"> data report provided.</w:t>
            </w:r>
          </w:p>
        </w:tc>
        <w:tc>
          <w:tcPr>
            <w:tcW w:w="1620" w:type="dxa"/>
            <w:shd w:val="clear" w:color="auto" w:fill="auto"/>
          </w:tcPr>
          <w:p w14:paraId="03B57F76" w14:textId="77777777" w:rsidR="006444D1" w:rsidRPr="00025262" w:rsidRDefault="006444D1" w:rsidP="006444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64E78FD5" w14:textId="0D32F673" w:rsidR="006444D1" w:rsidRPr="00025262" w:rsidRDefault="006444D1" w:rsidP="00644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$150</w:t>
            </w:r>
          </w:p>
        </w:tc>
        <w:tc>
          <w:tcPr>
            <w:tcW w:w="2430" w:type="dxa"/>
            <w:shd w:val="clear" w:color="auto" w:fill="auto"/>
          </w:tcPr>
          <w:p w14:paraId="2285C089" w14:textId="77777777" w:rsidR="006444D1" w:rsidRPr="00025262" w:rsidRDefault="006444D1" w:rsidP="00644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4D1" w:rsidRPr="00025262" w14:paraId="04059064" w14:textId="77777777" w:rsidTr="007F4689">
        <w:trPr>
          <w:trHeight w:val="287"/>
        </w:trPr>
        <w:tc>
          <w:tcPr>
            <w:tcW w:w="4068" w:type="dxa"/>
            <w:shd w:val="clear" w:color="auto" w:fill="auto"/>
          </w:tcPr>
          <w:p w14:paraId="03CA4FF6" w14:textId="54F79838" w:rsidR="006444D1" w:rsidRPr="00025262" w:rsidRDefault="006444D1" w:rsidP="006444D1">
            <w:pPr>
              <w:rPr>
                <w:rFonts w:ascii="Arial" w:hAnsi="Arial" w:cs="Arial"/>
                <w:sz w:val="18"/>
                <w:szCs w:val="18"/>
              </w:rPr>
            </w:pPr>
            <w:r w:rsidRPr="006444D1">
              <w:rPr>
                <w:rFonts w:ascii="Arial" w:hAnsi="Arial" w:cs="Arial"/>
                <w:sz w:val="18"/>
                <w:szCs w:val="18"/>
              </w:rPr>
              <w:t>Treadmill exercise + metabolic measurements: VCO2, VO2, heat, RQ</w:t>
            </w:r>
          </w:p>
        </w:tc>
        <w:tc>
          <w:tcPr>
            <w:tcW w:w="1620" w:type="dxa"/>
            <w:shd w:val="clear" w:color="auto" w:fill="auto"/>
          </w:tcPr>
          <w:p w14:paraId="036A32B0" w14:textId="77777777" w:rsidR="006444D1" w:rsidRPr="00025262" w:rsidRDefault="006444D1" w:rsidP="006444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C2744C2" w14:textId="2F6B3ECF" w:rsidR="006444D1" w:rsidRPr="00025262" w:rsidRDefault="006444D1" w:rsidP="00644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$75</w:t>
            </w:r>
          </w:p>
        </w:tc>
        <w:tc>
          <w:tcPr>
            <w:tcW w:w="2430" w:type="dxa"/>
            <w:shd w:val="clear" w:color="auto" w:fill="auto"/>
          </w:tcPr>
          <w:p w14:paraId="29859082" w14:textId="77777777" w:rsidR="006444D1" w:rsidRPr="00025262" w:rsidRDefault="006444D1" w:rsidP="00644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4D1" w:rsidRPr="00025262" w14:paraId="036492C4" w14:textId="77777777" w:rsidTr="007F4689">
        <w:trPr>
          <w:trHeight w:val="287"/>
        </w:trPr>
        <w:tc>
          <w:tcPr>
            <w:tcW w:w="4068" w:type="dxa"/>
            <w:shd w:val="clear" w:color="auto" w:fill="auto"/>
          </w:tcPr>
          <w:p w14:paraId="301C1F91" w14:textId="399771C3" w:rsidR="006444D1" w:rsidRPr="00025262" w:rsidRDefault="006444D1" w:rsidP="006444D1">
            <w:pPr>
              <w:rPr>
                <w:rFonts w:ascii="Arial" w:hAnsi="Arial" w:cs="Arial"/>
                <w:sz w:val="18"/>
                <w:szCs w:val="18"/>
              </w:rPr>
            </w:pPr>
            <w:r w:rsidRPr="006444D1">
              <w:rPr>
                <w:rFonts w:ascii="Arial" w:hAnsi="Arial" w:cs="Arial"/>
                <w:sz w:val="18"/>
                <w:szCs w:val="18"/>
              </w:rPr>
              <w:t>Metabolic measurements following adrenergic agonist stimulation (NE or CL)</w:t>
            </w:r>
          </w:p>
        </w:tc>
        <w:tc>
          <w:tcPr>
            <w:tcW w:w="1620" w:type="dxa"/>
            <w:shd w:val="clear" w:color="auto" w:fill="auto"/>
          </w:tcPr>
          <w:p w14:paraId="41F3CC47" w14:textId="77777777" w:rsidR="006444D1" w:rsidRPr="00025262" w:rsidRDefault="006444D1" w:rsidP="006444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40F08806" w14:textId="04D5108A" w:rsidR="006444D1" w:rsidRPr="00025262" w:rsidRDefault="006444D1" w:rsidP="00644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$75</w:t>
            </w:r>
          </w:p>
        </w:tc>
        <w:tc>
          <w:tcPr>
            <w:tcW w:w="2430" w:type="dxa"/>
            <w:shd w:val="clear" w:color="auto" w:fill="auto"/>
          </w:tcPr>
          <w:p w14:paraId="669F2BEA" w14:textId="77777777" w:rsidR="006444D1" w:rsidRPr="00025262" w:rsidRDefault="006444D1" w:rsidP="00644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4D1" w:rsidRPr="00025262" w14:paraId="557DEC62" w14:textId="77777777" w:rsidTr="007F4689">
        <w:trPr>
          <w:trHeight w:val="287"/>
        </w:trPr>
        <w:tc>
          <w:tcPr>
            <w:tcW w:w="10008" w:type="dxa"/>
            <w:gridSpan w:val="4"/>
            <w:shd w:val="clear" w:color="auto" w:fill="auto"/>
          </w:tcPr>
          <w:p w14:paraId="126C080F" w14:textId="5CFB71F1" w:rsidR="006444D1" w:rsidRPr="00025262" w:rsidRDefault="006444D1" w:rsidP="00644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4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Sable System </w:t>
            </w:r>
            <w:proofErr w:type="spellStart"/>
            <w:r w:rsidRPr="006444D1">
              <w:rPr>
                <w:rFonts w:ascii="Arial" w:hAnsi="Arial" w:cs="Arial"/>
                <w:b/>
                <w:bCs/>
                <w:sz w:val="18"/>
                <w:szCs w:val="18"/>
              </w:rPr>
              <w:t>Promethion</w:t>
            </w:r>
            <w:proofErr w:type="spellEnd"/>
            <w:r w:rsidRPr="006444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Multiplex System</w:t>
            </w:r>
            <w:r w:rsidRPr="006444D1">
              <w:rPr>
                <w:rFonts w:ascii="Arial" w:hAnsi="Arial" w:cs="Arial"/>
                <w:sz w:val="18"/>
                <w:szCs w:val="18"/>
              </w:rPr>
              <w:t xml:space="preserve">: Acclimation cages and 16 cage thermal cabinet system with home </w:t>
            </w:r>
            <w:proofErr w:type="spellStart"/>
            <w:r w:rsidRPr="006444D1">
              <w:rPr>
                <w:rFonts w:ascii="Arial" w:hAnsi="Arial" w:cs="Arial"/>
                <w:sz w:val="18"/>
                <w:szCs w:val="18"/>
              </w:rPr>
              <w:t>cage</w:t>
            </w:r>
            <w:proofErr w:type="spellEnd"/>
            <w:r w:rsidRPr="006444D1">
              <w:rPr>
                <w:rFonts w:ascii="Arial" w:hAnsi="Arial" w:cs="Arial"/>
                <w:sz w:val="18"/>
                <w:szCs w:val="18"/>
              </w:rPr>
              <w:t xml:space="preserve"> environment, which includes water bottles and food hoppers.</w:t>
            </w:r>
            <w:r w:rsidRPr="006444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6444D1" w:rsidRPr="00025262" w14:paraId="288B0D2C" w14:textId="77777777" w:rsidTr="007F4689">
        <w:trPr>
          <w:trHeight w:val="287"/>
        </w:trPr>
        <w:tc>
          <w:tcPr>
            <w:tcW w:w="4068" w:type="dxa"/>
            <w:shd w:val="clear" w:color="auto" w:fill="auto"/>
          </w:tcPr>
          <w:p w14:paraId="4ECE939D" w14:textId="0B372242" w:rsidR="006444D1" w:rsidRPr="006444D1" w:rsidRDefault="006444D1" w:rsidP="006444D1">
            <w:pPr>
              <w:rPr>
                <w:rFonts w:ascii="Arial" w:hAnsi="Arial" w:cs="Arial"/>
                <w:sz w:val="18"/>
                <w:szCs w:val="18"/>
              </w:rPr>
            </w:pPr>
            <w:r w:rsidRPr="006444D1">
              <w:rPr>
                <w:rFonts w:ascii="Arial" w:hAnsi="Arial" w:cs="Arial"/>
                <w:b/>
                <w:bCs/>
                <w:sz w:val="18"/>
                <w:szCs w:val="18"/>
              </w:rPr>
              <w:t>Standard Service:</w:t>
            </w:r>
            <w:r w:rsidRPr="006444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444D1">
              <w:rPr>
                <w:rFonts w:ascii="Arial" w:hAnsi="Arial" w:cs="Arial"/>
                <w:sz w:val="18"/>
                <w:szCs w:val="18"/>
              </w:rPr>
              <w:t>1 day</w:t>
            </w:r>
            <w:proofErr w:type="gramEnd"/>
            <w:r w:rsidRPr="006444D1">
              <w:rPr>
                <w:rFonts w:ascii="Arial" w:hAnsi="Arial" w:cs="Arial"/>
                <w:sz w:val="18"/>
                <w:szCs w:val="18"/>
              </w:rPr>
              <w:t xml:space="preserve"> acclimation + 5 days of metabolic measurements: VCO2, VO2, energy expenditure (heat), substrate utilization (RQ), food and water intake, pedestrian activity, water loss and </w:t>
            </w:r>
            <w:proofErr w:type="spellStart"/>
            <w:r w:rsidRPr="006444D1">
              <w:rPr>
                <w:rFonts w:ascii="Arial" w:hAnsi="Arial" w:cs="Arial"/>
                <w:sz w:val="18"/>
                <w:szCs w:val="18"/>
              </w:rPr>
              <w:t>ethoscan</w:t>
            </w:r>
            <w:proofErr w:type="spellEnd"/>
            <w:r w:rsidRPr="006444D1">
              <w:rPr>
                <w:rFonts w:ascii="Arial" w:hAnsi="Arial" w:cs="Arial"/>
                <w:sz w:val="18"/>
                <w:szCs w:val="18"/>
              </w:rPr>
              <w:t xml:space="preserve"> automated behavior analysis (monitoring of animal activity and interactions with cage sensors). Includes NMR body composition measurement. Full report provided as a one-click macro 5 min bin analysis.</w:t>
            </w:r>
          </w:p>
        </w:tc>
        <w:tc>
          <w:tcPr>
            <w:tcW w:w="1620" w:type="dxa"/>
            <w:shd w:val="clear" w:color="auto" w:fill="auto"/>
          </w:tcPr>
          <w:p w14:paraId="6601DD60" w14:textId="77777777" w:rsidR="006444D1" w:rsidRPr="00025262" w:rsidRDefault="006444D1" w:rsidP="006444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7096A8ED" w14:textId="1F52BEB8" w:rsidR="006444D1" w:rsidRDefault="006444D1" w:rsidP="00644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  <w:tc>
          <w:tcPr>
            <w:tcW w:w="2430" w:type="dxa"/>
            <w:shd w:val="clear" w:color="auto" w:fill="auto"/>
          </w:tcPr>
          <w:p w14:paraId="5EDB925E" w14:textId="77777777" w:rsidR="006444D1" w:rsidRPr="00025262" w:rsidRDefault="006444D1" w:rsidP="00644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4D1" w:rsidRPr="00025262" w14:paraId="4A4FF86B" w14:textId="77777777" w:rsidTr="007F4689">
        <w:trPr>
          <w:trHeight w:val="287"/>
        </w:trPr>
        <w:tc>
          <w:tcPr>
            <w:tcW w:w="4068" w:type="dxa"/>
            <w:shd w:val="clear" w:color="auto" w:fill="auto"/>
          </w:tcPr>
          <w:p w14:paraId="60DA4DAE" w14:textId="77777777" w:rsidR="006444D1" w:rsidRPr="006444D1" w:rsidRDefault="006444D1" w:rsidP="006444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44D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If one or all three optional services included in the standard service:</w:t>
            </w:r>
          </w:p>
          <w:p w14:paraId="31E2E587" w14:textId="77777777" w:rsidR="006444D1" w:rsidRPr="006444D1" w:rsidRDefault="006444D1" w:rsidP="006444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8C334C" w14:textId="77777777" w:rsidR="006444D1" w:rsidRPr="006444D1" w:rsidRDefault="006444D1" w:rsidP="006444D1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44D1">
              <w:rPr>
                <w:rFonts w:ascii="Arial" w:hAnsi="Arial" w:cs="Arial"/>
                <w:b/>
                <w:bCs/>
                <w:sz w:val="18"/>
                <w:szCs w:val="18"/>
              </w:rPr>
              <w:t>Promethion</w:t>
            </w:r>
            <w:proofErr w:type="spellEnd"/>
            <w:r w:rsidRPr="006444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running wheel module: </w:t>
            </w:r>
            <w:r w:rsidRPr="006444D1">
              <w:rPr>
                <w:rFonts w:ascii="Arial" w:hAnsi="Arial" w:cs="Arial"/>
                <w:sz w:val="18"/>
                <w:szCs w:val="18"/>
              </w:rPr>
              <w:t>Incorporates a stainless-steel wheel into the cage for monitoring of voluntary wheel revolutions. Designed to integrate with calorimetry, the wheel count data can easily be synchronized with other metabolic parameters.</w:t>
            </w:r>
          </w:p>
          <w:p w14:paraId="6069299E" w14:textId="77777777" w:rsidR="006444D1" w:rsidRDefault="006444D1" w:rsidP="006444D1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44D1">
              <w:rPr>
                <w:rFonts w:ascii="Arial" w:hAnsi="Arial" w:cs="Arial"/>
                <w:b/>
                <w:bCs/>
                <w:sz w:val="18"/>
                <w:szCs w:val="18"/>
              </w:rPr>
              <w:t>Promethion</w:t>
            </w:r>
            <w:proofErr w:type="spellEnd"/>
            <w:r w:rsidRPr="006444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Metabolic Screening Body Weight Module:  </w:t>
            </w:r>
            <w:r w:rsidRPr="006444D1">
              <w:rPr>
                <w:rFonts w:ascii="Arial" w:hAnsi="Arial" w:cs="Arial"/>
                <w:sz w:val="18"/>
                <w:szCs w:val="18"/>
              </w:rPr>
              <w:t xml:space="preserve">In-cage enrichment device attached to a </w:t>
            </w:r>
            <w:proofErr w:type="spellStart"/>
            <w:r w:rsidRPr="006444D1">
              <w:rPr>
                <w:rFonts w:ascii="Arial" w:hAnsi="Arial" w:cs="Arial"/>
                <w:sz w:val="18"/>
                <w:szCs w:val="18"/>
              </w:rPr>
              <w:t>Promethion</w:t>
            </w:r>
            <w:proofErr w:type="spellEnd"/>
            <w:r w:rsidRPr="006444D1">
              <w:rPr>
                <w:rFonts w:ascii="Arial" w:hAnsi="Arial" w:cs="Arial"/>
                <w:sz w:val="18"/>
                <w:szCs w:val="18"/>
              </w:rPr>
              <w:t xml:space="preserve"> universal MM-1 load cell. The body weight monitor allows the real time recording of body weight when the animal interacts with the device.</w:t>
            </w:r>
          </w:p>
          <w:p w14:paraId="711A8DA1" w14:textId="18A3D683" w:rsidR="006444D1" w:rsidRPr="006444D1" w:rsidRDefault="006444D1" w:rsidP="006444D1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44D1">
              <w:rPr>
                <w:rFonts w:ascii="Arial" w:hAnsi="Arial" w:cs="Arial"/>
                <w:b/>
                <w:bCs/>
                <w:sz w:val="18"/>
                <w:szCs w:val="18"/>
              </w:rPr>
              <w:t>Promethion</w:t>
            </w:r>
            <w:proofErr w:type="spellEnd"/>
            <w:r w:rsidRPr="006444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FAC-1 Access Control Module: </w:t>
            </w:r>
            <w:r w:rsidRPr="006444D1">
              <w:rPr>
                <w:rFonts w:ascii="Arial" w:hAnsi="Arial" w:cs="Arial"/>
                <w:sz w:val="18"/>
                <w:szCs w:val="18"/>
              </w:rPr>
              <w:t>Provides computer-controlled, automated access to food hopper in order to restrict feeding at designated time intervals during calorimetry run.</w:t>
            </w:r>
          </w:p>
        </w:tc>
        <w:tc>
          <w:tcPr>
            <w:tcW w:w="1620" w:type="dxa"/>
            <w:shd w:val="clear" w:color="auto" w:fill="auto"/>
          </w:tcPr>
          <w:p w14:paraId="22B845E9" w14:textId="77777777" w:rsidR="006444D1" w:rsidRPr="00025262" w:rsidRDefault="006444D1" w:rsidP="006444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25ECF31" w14:textId="29E86124" w:rsidR="006444D1" w:rsidRDefault="006444D1" w:rsidP="00644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  <w:tc>
          <w:tcPr>
            <w:tcW w:w="2430" w:type="dxa"/>
            <w:shd w:val="clear" w:color="auto" w:fill="auto"/>
          </w:tcPr>
          <w:p w14:paraId="5A3F5295" w14:textId="77777777" w:rsidR="006444D1" w:rsidRPr="00025262" w:rsidRDefault="006444D1" w:rsidP="00644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4D1" w:rsidRPr="00025262" w14:paraId="1E4933C7" w14:textId="77777777" w:rsidTr="007F4689">
        <w:trPr>
          <w:trHeight w:val="287"/>
        </w:trPr>
        <w:tc>
          <w:tcPr>
            <w:tcW w:w="4068" w:type="dxa"/>
            <w:shd w:val="clear" w:color="auto" w:fill="auto"/>
          </w:tcPr>
          <w:p w14:paraId="06BAA0EE" w14:textId="5861260B" w:rsidR="006444D1" w:rsidRPr="006444D1" w:rsidRDefault="006444D1" w:rsidP="006444D1">
            <w:pPr>
              <w:rPr>
                <w:rFonts w:ascii="Arial" w:hAnsi="Arial" w:cs="Arial"/>
                <w:sz w:val="18"/>
                <w:szCs w:val="18"/>
              </w:rPr>
            </w:pPr>
            <w:r w:rsidRPr="006444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Stable Isotope Gas Analyzer: </w:t>
            </w:r>
            <w:r w:rsidRPr="006444D1">
              <w:rPr>
                <w:rFonts w:ascii="Arial" w:hAnsi="Arial" w:cs="Arial"/>
                <w:sz w:val="18"/>
                <w:szCs w:val="18"/>
              </w:rPr>
              <w:t>Measures the oxidation of both exogenous and endogenous nutrients by allowing simultaneous measurement of stable isotope tracers (</w:t>
            </w:r>
            <w:r w:rsidRPr="006444D1">
              <w:rPr>
                <w:rFonts w:ascii="Arial" w:hAnsi="Arial" w:cs="Arial"/>
                <w:sz w:val="18"/>
                <w:szCs w:val="18"/>
                <w:vertAlign w:val="superscript"/>
              </w:rPr>
              <w:t>13</w:t>
            </w:r>
            <w:r w:rsidRPr="006444D1">
              <w:rPr>
                <w:rFonts w:ascii="Arial" w:hAnsi="Arial" w:cs="Arial"/>
                <w:sz w:val="18"/>
                <w:szCs w:val="18"/>
              </w:rPr>
              <w:t>CO</w:t>
            </w:r>
            <w:r w:rsidRPr="006444D1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 </w:t>
            </w:r>
            <w:r w:rsidRPr="006444D1">
              <w:rPr>
                <w:rFonts w:ascii="Arial" w:hAnsi="Arial" w:cs="Arial"/>
                <w:sz w:val="18"/>
                <w:szCs w:val="18"/>
              </w:rPr>
              <w:t>and C</w:t>
            </w:r>
            <w:r w:rsidRPr="006444D1">
              <w:rPr>
                <w:rFonts w:ascii="Arial" w:hAnsi="Arial" w:cs="Arial"/>
                <w:sz w:val="18"/>
                <w:szCs w:val="18"/>
                <w:vertAlign w:val="superscript"/>
              </w:rPr>
              <w:t>18</w:t>
            </w:r>
            <w:r w:rsidRPr="006444D1">
              <w:rPr>
                <w:rFonts w:ascii="Arial" w:hAnsi="Arial" w:cs="Arial"/>
                <w:sz w:val="18"/>
                <w:szCs w:val="18"/>
              </w:rPr>
              <w:t>O</w:t>
            </w:r>
            <w:r w:rsidRPr="006444D1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444D1">
              <w:rPr>
                <w:rFonts w:ascii="Arial" w:hAnsi="Arial" w:cs="Arial"/>
                <w:sz w:val="18"/>
                <w:szCs w:val="18"/>
              </w:rPr>
              <w:t>)</w:t>
            </w:r>
            <w:r w:rsidRPr="006444D1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6444D1">
              <w:rPr>
                <w:rFonts w:ascii="Arial" w:hAnsi="Arial" w:cs="Arial"/>
                <w:sz w:val="18"/>
                <w:szCs w:val="18"/>
              </w:rPr>
              <w:t xml:space="preserve">synchronously with the </w:t>
            </w:r>
            <w:proofErr w:type="spellStart"/>
            <w:r w:rsidRPr="006444D1">
              <w:rPr>
                <w:rFonts w:ascii="Arial" w:hAnsi="Arial" w:cs="Arial"/>
                <w:sz w:val="18"/>
                <w:szCs w:val="18"/>
              </w:rPr>
              <w:t>Promethion</w:t>
            </w:r>
            <w:proofErr w:type="spellEnd"/>
            <w:r w:rsidRPr="006444D1">
              <w:rPr>
                <w:rFonts w:ascii="Arial" w:hAnsi="Arial" w:cs="Arial"/>
                <w:sz w:val="18"/>
                <w:szCs w:val="18"/>
              </w:rPr>
              <w:t xml:space="preserve"> data stream.</w:t>
            </w:r>
          </w:p>
        </w:tc>
        <w:tc>
          <w:tcPr>
            <w:tcW w:w="1620" w:type="dxa"/>
            <w:shd w:val="clear" w:color="auto" w:fill="auto"/>
          </w:tcPr>
          <w:p w14:paraId="40BC9098" w14:textId="77777777" w:rsidR="006444D1" w:rsidRPr="00025262" w:rsidRDefault="006444D1" w:rsidP="006444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D03F1A9" w14:textId="5EED894D" w:rsidR="006444D1" w:rsidRDefault="006444D1" w:rsidP="00644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inquire</w:t>
            </w:r>
          </w:p>
        </w:tc>
        <w:tc>
          <w:tcPr>
            <w:tcW w:w="2430" w:type="dxa"/>
            <w:shd w:val="clear" w:color="auto" w:fill="auto"/>
          </w:tcPr>
          <w:p w14:paraId="3B5A9D16" w14:textId="77777777" w:rsidR="006444D1" w:rsidRPr="00025262" w:rsidRDefault="006444D1" w:rsidP="006444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772D60" w14:textId="19DDCA64" w:rsidR="004D4B2D" w:rsidRDefault="006444D1" w:rsidP="00455F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541F4C">
        <w:rPr>
          <w:rFonts w:ascii="Arial" w:hAnsi="Arial" w:cs="Arial"/>
          <w:b/>
          <w:sz w:val="18"/>
          <w:szCs w:val="18"/>
        </w:rPr>
        <w:t xml:space="preserve">         </w:t>
      </w:r>
      <w:r>
        <w:rPr>
          <w:rFonts w:ascii="Arial" w:hAnsi="Arial" w:cs="Arial"/>
          <w:b/>
          <w:sz w:val="18"/>
          <w:szCs w:val="18"/>
        </w:rPr>
        <w:t>Total $</w:t>
      </w:r>
    </w:p>
    <w:p w14:paraId="6122FEF9" w14:textId="69E8DF8C" w:rsidR="004D4B2D" w:rsidRDefault="004D4B2D" w:rsidP="00455FDE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8"/>
        <w:gridCol w:w="51"/>
        <w:gridCol w:w="1857"/>
        <w:gridCol w:w="2165"/>
        <w:gridCol w:w="1637"/>
      </w:tblGrid>
      <w:tr w:rsidR="00D16B29" w:rsidRPr="005F217A" w14:paraId="33D9F27B" w14:textId="77777777" w:rsidTr="00541F4C">
        <w:trPr>
          <w:trHeight w:val="244"/>
        </w:trPr>
        <w:tc>
          <w:tcPr>
            <w:tcW w:w="1009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3C2A0A4D" w14:textId="52A63D4D" w:rsidR="00D16B29" w:rsidRPr="00D16B29" w:rsidRDefault="00D16B29" w:rsidP="00D16B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B29">
              <w:rPr>
                <w:rFonts w:ascii="Arial" w:hAnsi="Arial" w:cs="Arial"/>
                <w:b/>
                <w:sz w:val="18"/>
                <w:szCs w:val="18"/>
              </w:rPr>
              <w:t xml:space="preserve">Metabolic </w:t>
            </w:r>
            <w:r w:rsidR="007F4689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D16B29">
              <w:rPr>
                <w:rFonts w:ascii="Arial" w:hAnsi="Arial" w:cs="Arial"/>
                <w:b/>
                <w:sz w:val="18"/>
                <w:szCs w:val="18"/>
              </w:rPr>
              <w:t xml:space="preserve">easurements: </w:t>
            </w:r>
          </w:p>
        </w:tc>
      </w:tr>
      <w:tr w:rsidR="0072671D" w:rsidRPr="005F217A" w14:paraId="0846FE64" w14:textId="77777777" w:rsidTr="00541F4C">
        <w:trPr>
          <w:trHeight w:val="422"/>
        </w:trPr>
        <w:tc>
          <w:tcPr>
            <w:tcW w:w="443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3BBE7C8" w14:textId="77777777" w:rsidR="0072671D" w:rsidRPr="005F217A" w:rsidRDefault="0072671D" w:rsidP="00C53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17A">
              <w:rPr>
                <w:rFonts w:ascii="Arial" w:hAnsi="Arial" w:cs="Arial"/>
                <w:sz w:val="18"/>
                <w:szCs w:val="18"/>
              </w:rPr>
              <w:t>Assay</w:t>
            </w:r>
            <w:r>
              <w:rPr>
                <w:rFonts w:ascii="Arial" w:hAnsi="Arial" w:cs="Arial"/>
                <w:sz w:val="18"/>
                <w:szCs w:val="18"/>
              </w:rPr>
              <w:t>s for mice</w:t>
            </w:r>
          </w:p>
          <w:p w14:paraId="2AB79CFA" w14:textId="77777777" w:rsidR="0072671D" w:rsidRPr="005F217A" w:rsidRDefault="0072671D" w:rsidP="00C533C5">
            <w:pPr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12" w:space="0" w:color="auto"/>
            </w:tcBorders>
            <w:shd w:val="clear" w:color="auto" w:fill="auto"/>
          </w:tcPr>
          <w:p w14:paraId="610DFAEF" w14:textId="77777777" w:rsidR="0072671D" w:rsidRPr="005F217A" w:rsidRDefault="0072671D" w:rsidP="00C53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 number</w:t>
            </w:r>
          </w:p>
        </w:tc>
        <w:tc>
          <w:tcPr>
            <w:tcW w:w="2165" w:type="dxa"/>
            <w:tcBorders>
              <w:bottom w:val="single" w:sz="12" w:space="0" w:color="auto"/>
            </w:tcBorders>
            <w:shd w:val="clear" w:color="auto" w:fill="auto"/>
          </w:tcPr>
          <w:p w14:paraId="7060940A" w14:textId="77777777" w:rsidR="0072671D" w:rsidRPr="005F217A" w:rsidRDefault="0072671D" w:rsidP="00C53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 per mouse</w:t>
            </w:r>
          </w:p>
        </w:tc>
        <w:tc>
          <w:tcPr>
            <w:tcW w:w="1637" w:type="dxa"/>
            <w:tcBorders>
              <w:bottom w:val="single" w:sz="12" w:space="0" w:color="auto"/>
            </w:tcBorders>
          </w:tcPr>
          <w:p w14:paraId="441C2F14" w14:textId="77777777" w:rsidR="0072671D" w:rsidRPr="005F217A" w:rsidRDefault="0072671D" w:rsidP="00C53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D16B29" w:rsidRPr="005F217A" w14:paraId="2E176A5A" w14:textId="77777777" w:rsidTr="00541F4C">
        <w:trPr>
          <w:trHeight w:val="501"/>
        </w:trPr>
        <w:tc>
          <w:tcPr>
            <w:tcW w:w="10098" w:type="dxa"/>
            <w:gridSpan w:val="5"/>
          </w:tcPr>
          <w:p w14:paraId="71BE56DE" w14:textId="593C2D4E" w:rsidR="00D16B29" w:rsidRPr="005F217A" w:rsidRDefault="00D16B29" w:rsidP="00C53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B29">
              <w:rPr>
                <w:rFonts w:ascii="Arial" w:hAnsi="Arial" w:cs="Arial"/>
                <w:b/>
                <w:sz w:val="18"/>
                <w:szCs w:val="18"/>
              </w:rPr>
              <w:t xml:space="preserve">DSI Implantable Telemetry Monitoring: </w:t>
            </w:r>
            <w:r w:rsidRPr="00D16B29">
              <w:rPr>
                <w:rFonts w:ascii="Arial" w:hAnsi="Arial" w:cs="Arial"/>
                <w:bCs/>
                <w:sz w:val="18"/>
                <w:szCs w:val="18"/>
              </w:rPr>
              <w:t>Service includes probe implantation surgery, probe removal, data acquisition, and a DSI probe refurbishment fee (</w:t>
            </w:r>
            <w:r w:rsidRPr="00D16B29">
              <w:rPr>
                <w:rFonts w:ascii="Arial" w:hAnsi="Arial" w:cs="Arial"/>
                <w:sz w:val="18"/>
                <w:szCs w:val="18"/>
              </w:rPr>
              <w:t>the cost will be deducted for investigators who provide their own probes</w:t>
            </w:r>
            <w:r w:rsidRPr="00D16B29">
              <w:rPr>
                <w:rFonts w:ascii="Arial" w:hAnsi="Arial" w:cs="Arial"/>
                <w:bCs/>
                <w:sz w:val="18"/>
                <w:szCs w:val="18"/>
              </w:rPr>
              <w:t xml:space="preserve">). </w:t>
            </w:r>
            <w:r w:rsidRPr="00D16B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2671D" w:rsidRPr="005F217A" w14:paraId="79010199" w14:textId="77777777" w:rsidTr="00541F4C">
        <w:trPr>
          <w:trHeight w:val="1049"/>
        </w:trPr>
        <w:tc>
          <w:tcPr>
            <w:tcW w:w="4388" w:type="dxa"/>
          </w:tcPr>
          <w:p w14:paraId="1E8780A0" w14:textId="67D95CFA" w:rsidR="00F63310" w:rsidRDefault="0072671D" w:rsidP="00E02F5E">
            <w:pPr>
              <w:rPr>
                <w:rFonts w:ascii="Arial" w:hAnsi="Arial" w:cs="Arial"/>
                <w:sz w:val="18"/>
                <w:szCs w:val="18"/>
              </w:rPr>
            </w:pPr>
            <w:r w:rsidRPr="003D4BAE">
              <w:rPr>
                <w:rFonts w:ascii="Arial" w:hAnsi="Arial" w:cs="Arial"/>
                <w:b/>
                <w:bCs/>
                <w:sz w:val="18"/>
                <w:szCs w:val="18"/>
              </w:rPr>
              <w:t>HD-XG:</w:t>
            </w:r>
            <w:r>
              <w:rPr>
                <w:rFonts w:ascii="Arial" w:hAnsi="Arial" w:cs="Arial"/>
                <w:sz w:val="18"/>
                <w:szCs w:val="18"/>
              </w:rPr>
              <w:t xml:space="preserve"> Continuous measurements of blood glucose, temperature and activity</w:t>
            </w:r>
            <w:r w:rsidR="00183027">
              <w:rPr>
                <w:rFonts w:ascii="Arial" w:hAnsi="Arial" w:cs="Arial"/>
                <w:sz w:val="18"/>
                <w:szCs w:val="18"/>
              </w:rPr>
              <w:t xml:space="preserve"> monitoring for 1 week</w:t>
            </w:r>
            <w:r w:rsidR="003D4BA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83027" w:rsidRPr="001830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83027" w:rsidRPr="00183027">
              <w:rPr>
                <w:rFonts w:ascii="Arial" w:hAnsi="Arial" w:cs="Arial"/>
                <w:bCs/>
                <w:sz w:val="18"/>
                <w:szCs w:val="18"/>
              </w:rPr>
              <w:t>Minimum weight for probe implantation:</w:t>
            </w:r>
            <w:r w:rsidR="00183027" w:rsidRPr="00183027">
              <w:rPr>
                <w:rFonts w:ascii="Arial" w:hAnsi="Arial" w:cs="Arial"/>
                <w:sz w:val="18"/>
                <w:szCs w:val="18"/>
              </w:rPr>
              <w:t xml:space="preserve"> IP device placement is 25 g; SC device placement is 19 g</w:t>
            </w:r>
            <w:r w:rsidR="001830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08" w:type="dxa"/>
            <w:gridSpan w:val="2"/>
          </w:tcPr>
          <w:p w14:paraId="4F5E4BDF" w14:textId="77777777" w:rsidR="0072671D" w:rsidRPr="005F217A" w:rsidRDefault="0072671D" w:rsidP="00C533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</w:tcPr>
          <w:p w14:paraId="6F918A5E" w14:textId="16B4FC19" w:rsidR="0072671D" w:rsidRPr="005F217A" w:rsidRDefault="0072671D" w:rsidP="001830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18302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637" w:type="dxa"/>
          </w:tcPr>
          <w:p w14:paraId="3D76289E" w14:textId="77777777" w:rsidR="0072671D" w:rsidRPr="005F217A" w:rsidRDefault="0072671D" w:rsidP="00C53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71D" w:rsidRPr="005F217A" w14:paraId="0A4A4B82" w14:textId="77777777" w:rsidTr="00541F4C">
        <w:trPr>
          <w:trHeight w:val="229"/>
        </w:trPr>
        <w:tc>
          <w:tcPr>
            <w:tcW w:w="4388" w:type="dxa"/>
          </w:tcPr>
          <w:p w14:paraId="36A7405F" w14:textId="2B76D620" w:rsidR="0072671D" w:rsidRDefault="003D4BAE" w:rsidP="00E02F5E">
            <w:pPr>
              <w:rPr>
                <w:rFonts w:ascii="Arial" w:hAnsi="Arial" w:cs="Arial"/>
                <w:sz w:val="18"/>
                <w:szCs w:val="18"/>
              </w:rPr>
            </w:pPr>
            <w:r w:rsidRPr="003D4BAE">
              <w:rPr>
                <w:rFonts w:ascii="Arial" w:hAnsi="Arial" w:cs="Arial"/>
                <w:b/>
                <w:bCs/>
                <w:sz w:val="18"/>
                <w:szCs w:val="18"/>
              </w:rPr>
              <w:t>HD-X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Pr="003D4B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Continuous measurements of blood pressure, ECG, heart rate, temperature and</w:t>
            </w:r>
            <w:r w:rsidR="00183027">
              <w:rPr>
                <w:rFonts w:ascii="Arial" w:hAnsi="Arial" w:cs="Arial"/>
                <w:sz w:val="18"/>
                <w:szCs w:val="18"/>
              </w:rPr>
              <w:t xml:space="preserve"> activity monitoring for 1 week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63310">
              <w:rPr>
                <w:rFonts w:ascii="Arial" w:hAnsi="Arial" w:cs="Arial"/>
                <w:sz w:val="18"/>
                <w:szCs w:val="18"/>
              </w:rPr>
              <w:t>Please i</w:t>
            </w:r>
            <w:r w:rsidR="00EF3963">
              <w:rPr>
                <w:rFonts w:ascii="Arial" w:hAnsi="Arial" w:cs="Arial"/>
                <w:sz w:val="18"/>
                <w:szCs w:val="18"/>
              </w:rPr>
              <w:t xml:space="preserve">nquire </w:t>
            </w:r>
            <w:r w:rsidR="00183027">
              <w:rPr>
                <w:rFonts w:ascii="Arial" w:hAnsi="Arial" w:cs="Arial"/>
                <w:sz w:val="18"/>
                <w:szCs w:val="18"/>
              </w:rPr>
              <w:t xml:space="preserve">further regarding option for ECG </w:t>
            </w:r>
            <w:r w:rsidR="00EF3963">
              <w:rPr>
                <w:rFonts w:ascii="Arial" w:hAnsi="Arial" w:cs="Arial"/>
                <w:sz w:val="18"/>
                <w:szCs w:val="18"/>
              </w:rPr>
              <w:t xml:space="preserve">analysis/interpretation. </w:t>
            </w:r>
            <w:r w:rsidR="00183027" w:rsidRPr="001830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83027" w:rsidRPr="00183027">
              <w:rPr>
                <w:rFonts w:ascii="Arial" w:hAnsi="Arial" w:cs="Arial"/>
                <w:bCs/>
                <w:sz w:val="18"/>
                <w:szCs w:val="18"/>
              </w:rPr>
              <w:t>Minimum weight for probe implantation:</w:t>
            </w:r>
            <w:r w:rsidR="00183027" w:rsidRPr="00183027">
              <w:rPr>
                <w:rFonts w:ascii="Arial" w:hAnsi="Arial" w:cs="Arial"/>
                <w:sz w:val="18"/>
                <w:szCs w:val="18"/>
              </w:rPr>
              <w:t xml:space="preserve"> IP device placement is 25 g; SC device placement is 19 g</w:t>
            </w:r>
            <w:r w:rsidR="001830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08" w:type="dxa"/>
            <w:gridSpan w:val="2"/>
          </w:tcPr>
          <w:p w14:paraId="495D44AB" w14:textId="77777777" w:rsidR="0072671D" w:rsidRPr="005F217A" w:rsidRDefault="0072671D" w:rsidP="00C533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</w:tcPr>
          <w:p w14:paraId="1A202AE4" w14:textId="5D8236EF" w:rsidR="0072671D" w:rsidRPr="005F217A" w:rsidRDefault="0072671D" w:rsidP="001830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183027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637" w:type="dxa"/>
          </w:tcPr>
          <w:p w14:paraId="5F1A2D57" w14:textId="77777777" w:rsidR="0072671D" w:rsidRPr="005F217A" w:rsidRDefault="0072671D" w:rsidP="00C53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71D" w:rsidRPr="005F217A" w14:paraId="6F13612F" w14:textId="77777777" w:rsidTr="00541F4C">
        <w:trPr>
          <w:trHeight w:val="478"/>
        </w:trPr>
        <w:tc>
          <w:tcPr>
            <w:tcW w:w="10098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2F7320" w14:textId="0AD7B92F" w:rsidR="0072671D" w:rsidRDefault="00451E67" w:rsidP="00C533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Total$</w:t>
            </w:r>
          </w:p>
          <w:p w14:paraId="10A1812F" w14:textId="63CB30C7" w:rsidR="00451E67" w:rsidRDefault="00451E67" w:rsidP="00451E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1394EDB8" w14:textId="799DB41A" w:rsidR="00D16B29" w:rsidRDefault="00D16B29" w:rsidP="00C533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EB7C7C" w14:textId="4BCC22A8" w:rsidR="00D16B29" w:rsidRPr="005F217A" w:rsidRDefault="00D16B29" w:rsidP="00C533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B29" w:rsidRPr="005F217A" w14:paraId="146F7894" w14:textId="77777777" w:rsidTr="00541F4C">
        <w:trPr>
          <w:trHeight w:val="229"/>
        </w:trPr>
        <w:tc>
          <w:tcPr>
            <w:tcW w:w="1009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6D0FDBC8" w14:textId="65B8885E" w:rsidR="00D16B29" w:rsidRDefault="00D16B29" w:rsidP="00D16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B2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Temperature Monitoring:</w:t>
            </w:r>
          </w:p>
        </w:tc>
      </w:tr>
      <w:tr w:rsidR="00D16B29" w:rsidRPr="005F217A" w14:paraId="223DCC56" w14:textId="77777777" w:rsidTr="00541F4C">
        <w:trPr>
          <w:trHeight w:val="229"/>
        </w:trPr>
        <w:tc>
          <w:tcPr>
            <w:tcW w:w="4388" w:type="dxa"/>
            <w:tcBorders>
              <w:bottom w:val="single" w:sz="12" w:space="0" w:color="auto"/>
            </w:tcBorders>
            <w:shd w:val="clear" w:color="auto" w:fill="auto"/>
          </w:tcPr>
          <w:p w14:paraId="6E29B9EC" w14:textId="77777777" w:rsidR="00D16B29" w:rsidRPr="005F217A" w:rsidRDefault="00D16B29" w:rsidP="00D16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17A">
              <w:rPr>
                <w:rFonts w:ascii="Arial" w:hAnsi="Arial" w:cs="Arial"/>
                <w:sz w:val="18"/>
                <w:szCs w:val="18"/>
              </w:rPr>
              <w:t>Assay</w:t>
            </w:r>
            <w:r>
              <w:rPr>
                <w:rFonts w:ascii="Arial" w:hAnsi="Arial" w:cs="Arial"/>
                <w:sz w:val="18"/>
                <w:szCs w:val="18"/>
              </w:rPr>
              <w:t>s for mice</w:t>
            </w:r>
          </w:p>
          <w:p w14:paraId="439F5D25" w14:textId="77777777" w:rsidR="00D16B29" w:rsidRPr="00947F6F" w:rsidRDefault="00D16B29" w:rsidP="00D16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3C531BA" w14:textId="51CE9795" w:rsidR="00D16B29" w:rsidRPr="005F217A" w:rsidRDefault="00D16B29" w:rsidP="00C3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 number</w:t>
            </w:r>
          </w:p>
        </w:tc>
        <w:tc>
          <w:tcPr>
            <w:tcW w:w="2165" w:type="dxa"/>
            <w:tcBorders>
              <w:bottom w:val="single" w:sz="12" w:space="0" w:color="auto"/>
            </w:tcBorders>
            <w:shd w:val="clear" w:color="auto" w:fill="auto"/>
          </w:tcPr>
          <w:p w14:paraId="4F118BE1" w14:textId="7D9A0AEA" w:rsidR="00D16B29" w:rsidRDefault="00D16B29" w:rsidP="00D16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 per mouse</w:t>
            </w:r>
          </w:p>
        </w:tc>
        <w:tc>
          <w:tcPr>
            <w:tcW w:w="1637" w:type="dxa"/>
            <w:tcBorders>
              <w:bottom w:val="single" w:sz="12" w:space="0" w:color="auto"/>
            </w:tcBorders>
          </w:tcPr>
          <w:p w14:paraId="6F30125F" w14:textId="19A1A068" w:rsidR="00D16B29" w:rsidRPr="005F217A" w:rsidRDefault="00D16B29" w:rsidP="00D16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D16B29" w:rsidRPr="005F217A" w14:paraId="449C0BB6" w14:textId="77777777" w:rsidTr="00541F4C">
        <w:trPr>
          <w:trHeight w:val="229"/>
        </w:trPr>
        <w:tc>
          <w:tcPr>
            <w:tcW w:w="4388" w:type="dxa"/>
          </w:tcPr>
          <w:p w14:paraId="64B11B67" w14:textId="5322824D" w:rsidR="00D16B29" w:rsidRDefault="00D16B29" w:rsidP="00D16B29">
            <w:pPr>
              <w:rPr>
                <w:rFonts w:ascii="Arial" w:hAnsi="Arial" w:cs="Arial"/>
                <w:sz w:val="18"/>
                <w:szCs w:val="18"/>
              </w:rPr>
            </w:pPr>
            <w:r w:rsidRPr="00947F6F">
              <w:rPr>
                <w:rFonts w:ascii="Arial" w:hAnsi="Arial" w:cs="Arial"/>
                <w:sz w:val="18"/>
                <w:szCs w:val="18"/>
              </w:rPr>
              <w:t>Cold tolerance test (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D71394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D71394">
              <w:rPr>
                <w:rFonts w:ascii="Arial" w:hAnsi="Arial" w:cs="Arial"/>
                <w:sz w:val="18"/>
                <w:szCs w:val="18"/>
              </w:rPr>
              <w:t>C</w:t>
            </w:r>
            <w:r w:rsidRPr="00947F6F">
              <w:rPr>
                <w:rFonts w:ascii="Arial" w:hAnsi="Arial" w:cs="Arial"/>
                <w:sz w:val="18"/>
                <w:szCs w:val="18"/>
              </w:rPr>
              <w:t xml:space="preserve"> vs. 4</w:t>
            </w:r>
            <w:r w:rsidRPr="00947F6F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947F6F">
              <w:rPr>
                <w:rFonts w:ascii="Arial" w:hAnsi="Arial" w:cs="Arial"/>
                <w:sz w:val="18"/>
                <w:szCs w:val="18"/>
              </w:rPr>
              <w:t xml:space="preserve">C) combined with core </w:t>
            </w:r>
            <w:r>
              <w:rPr>
                <w:rFonts w:ascii="Arial" w:hAnsi="Arial" w:cs="Arial"/>
                <w:sz w:val="18"/>
                <w:szCs w:val="18"/>
              </w:rPr>
              <w:t xml:space="preserve">body </w:t>
            </w:r>
            <w:r w:rsidRPr="00947F6F">
              <w:rPr>
                <w:rFonts w:ascii="Arial" w:hAnsi="Arial" w:cs="Arial"/>
                <w:sz w:val="18"/>
                <w:szCs w:val="18"/>
              </w:rPr>
              <w:t>temperature or BAT temperature measurements</w:t>
            </w:r>
          </w:p>
        </w:tc>
        <w:tc>
          <w:tcPr>
            <w:tcW w:w="1908" w:type="dxa"/>
            <w:gridSpan w:val="2"/>
          </w:tcPr>
          <w:p w14:paraId="79752C8F" w14:textId="77777777" w:rsidR="00D16B29" w:rsidRPr="005F217A" w:rsidRDefault="00D16B29" w:rsidP="00D16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</w:tcPr>
          <w:p w14:paraId="1F3B6A9A" w14:textId="4EA062C6" w:rsidR="00D16B29" w:rsidRPr="005F217A" w:rsidRDefault="00D16B29" w:rsidP="00D16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$50</w:t>
            </w:r>
          </w:p>
        </w:tc>
        <w:tc>
          <w:tcPr>
            <w:tcW w:w="1637" w:type="dxa"/>
          </w:tcPr>
          <w:p w14:paraId="45756B24" w14:textId="77777777" w:rsidR="00D16B29" w:rsidRPr="005F217A" w:rsidRDefault="00D16B29" w:rsidP="00D16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B29" w:rsidRPr="005F217A" w14:paraId="3E90BC0D" w14:textId="77777777" w:rsidTr="00541F4C">
        <w:trPr>
          <w:trHeight w:val="229"/>
        </w:trPr>
        <w:tc>
          <w:tcPr>
            <w:tcW w:w="4388" w:type="dxa"/>
          </w:tcPr>
          <w:p w14:paraId="4709F342" w14:textId="42F1D91A" w:rsidR="00D16B29" w:rsidRDefault="00D16B29" w:rsidP="00D16B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Continuous core body temperature measurements via Anipill capsule peritoneal implants for 2 weeks</w:t>
            </w:r>
          </w:p>
        </w:tc>
        <w:tc>
          <w:tcPr>
            <w:tcW w:w="1908" w:type="dxa"/>
            <w:gridSpan w:val="2"/>
          </w:tcPr>
          <w:p w14:paraId="63C5F920" w14:textId="77777777" w:rsidR="00D16B29" w:rsidRPr="005F217A" w:rsidRDefault="00D16B29" w:rsidP="00D16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</w:tcPr>
          <w:p w14:paraId="3CF32BC6" w14:textId="7A25E7B1" w:rsidR="00D16B29" w:rsidRPr="005F217A" w:rsidRDefault="00D16B29" w:rsidP="00D16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  <w:tc>
          <w:tcPr>
            <w:tcW w:w="1637" w:type="dxa"/>
          </w:tcPr>
          <w:p w14:paraId="57E31B07" w14:textId="77777777" w:rsidR="00D16B29" w:rsidRPr="005F217A" w:rsidRDefault="00D16B29" w:rsidP="00D16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B29" w:rsidRPr="005F217A" w14:paraId="12010DC7" w14:textId="77777777" w:rsidTr="00541F4C">
        <w:trPr>
          <w:trHeight w:val="229"/>
        </w:trPr>
        <w:tc>
          <w:tcPr>
            <w:tcW w:w="4388" w:type="dxa"/>
          </w:tcPr>
          <w:p w14:paraId="47E12A0A" w14:textId="72F1D7D4" w:rsidR="00D16B29" w:rsidRDefault="00D16B29" w:rsidP="00D16B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 temperature measurements via subcutaneous implants</w:t>
            </w:r>
          </w:p>
        </w:tc>
        <w:tc>
          <w:tcPr>
            <w:tcW w:w="1908" w:type="dxa"/>
            <w:gridSpan w:val="2"/>
          </w:tcPr>
          <w:p w14:paraId="24169BC6" w14:textId="77777777" w:rsidR="00D16B29" w:rsidRPr="005F217A" w:rsidRDefault="00D16B29" w:rsidP="00D16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</w:tcPr>
          <w:p w14:paraId="3CF1579A" w14:textId="693974C8" w:rsidR="00D16B29" w:rsidRPr="005F217A" w:rsidRDefault="00D16B29" w:rsidP="00D16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17A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5/day</w:t>
            </w:r>
          </w:p>
          <w:p w14:paraId="1262C21D" w14:textId="77777777" w:rsidR="00D16B29" w:rsidRPr="005F217A" w:rsidRDefault="00D16B29" w:rsidP="00D16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14:paraId="71BD9B70" w14:textId="77777777" w:rsidR="00D16B29" w:rsidRPr="005F217A" w:rsidRDefault="00D16B29" w:rsidP="00D16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B29" w:rsidRPr="005F217A" w14:paraId="6BB9A1D1" w14:textId="77777777" w:rsidTr="00541F4C">
        <w:trPr>
          <w:trHeight w:val="229"/>
        </w:trPr>
        <w:tc>
          <w:tcPr>
            <w:tcW w:w="4388" w:type="dxa"/>
          </w:tcPr>
          <w:p w14:paraId="48F53AB7" w14:textId="4FF48728" w:rsidR="00D16B29" w:rsidRDefault="00D16B29" w:rsidP="00D16B29">
            <w:pPr>
              <w:rPr>
                <w:rFonts w:ascii="Arial" w:hAnsi="Arial" w:cs="Arial"/>
                <w:sz w:val="18"/>
                <w:szCs w:val="18"/>
              </w:rPr>
            </w:pPr>
            <w:r w:rsidRPr="00D71394">
              <w:rPr>
                <w:rFonts w:ascii="Arial" w:hAnsi="Arial" w:cs="Arial"/>
                <w:sz w:val="18"/>
                <w:szCs w:val="18"/>
              </w:rPr>
              <w:t>FLIR Thermal Imaging (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D71394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D71394">
              <w:rPr>
                <w:rFonts w:ascii="Arial" w:hAnsi="Arial" w:cs="Arial"/>
                <w:sz w:val="18"/>
                <w:szCs w:val="18"/>
              </w:rPr>
              <w:t>C vs. 4</w:t>
            </w:r>
            <w:r w:rsidRPr="00D71394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D71394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1908" w:type="dxa"/>
            <w:gridSpan w:val="2"/>
          </w:tcPr>
          <w:p w14:paraId="02DA48AA" w14:textId="77777777" w:rsidR="00D16B29" w:rsidRPr="005F217A" w:rsidRDefault="00D16B29" w:rsidP="00D16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</w:tcPr>
          <w:p w14:paraId="0B224E7E" w14:textId="2E101A7B" w:rsidR="00D16B29" w:rsidRPr="005F217A" w:rsidRDefault="00D16B29" w:rsidP="00D16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$50</w:t>
            </w:r>
          </w:p>
        </w:tc>
        <w:tc>
          <w:tcPr>
            <w:tcW w:w="1637" w:type="dxa"/>
          </w:tcPr>
          <w:p w14:paraId="3E29FC1C" w14:textId="77777777" w:rsidR="00D16B29" w:rsidRPr="005F217A" w:rsidRDefault="00D16B29" w:rsidP="00D16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187" w:rsidRPr="005F217A" w14:paraId="6C29C4A2" w14:textId="77777777" w:rsidTr="00DA4504">
        <w:trPr>
          <w:trHeight w:val="229"/>
        </w:trPr>
        <w:tc>
          <w:tcPr>
            <w:tcW w:w="10098" w:type="dxa"/>
            <w:gridSpan w:val="5"/>
          </w:tcPr>
          <w:p w14:paraId="7E465B4E" w14:textId="4A40F963" w:rsidR="00AF6187" w:rsidRPr="005F217A" w:rsidRDefault="00AF6187" w:rsidP="00D16B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87">
              <w:rPr>
                <w:rFonts w:ascii="Arial" w:hAnsi="Arial" w:cs="Arial"/>
                <w:b/>
                <w:sz w:val="18"/>
                <w:szCs w:val="18"/>
              </w:rPr>
              <w:t>Blood Pressure Measurements:</w:t>
            </w:r>
          </w:p>
        </w:tc>
      </w:tr>
      <w:tr w:rsidR="00AF6187" w:rsidRPr="005F217A" w14:paraId="5F4433EB" w14:textId="77777777" w:rsidTr="00541F4C">
        <w:trPr>
          <w:trHeight w:val="229"/>
        </w:trPr>
        <w:tc>
          <w:tcPr>
            <w:tcW w:w="4388" w:type="dxa"/>
          </w:tcPr>
          <w:p w14:paraId="27944CB7" w14:textId="0B297184" w:rsidR="00AF6187" w:rsidRPr="00D71394" w:rsidRDefault="00AF6187" w:rsidP="00AF6187">
            <w:pPr>
              <w:rPr>
                <w:rFonts w:ascii="Arial" w:hAnsi="Arial" w:cs="Arial"/>
                <w:sz w:val="18"/>
                <w:szCs w:val="18"/>
              </w:rPr>
            </w:pPr>
            <w:r w:rsidRPr="00D16B29">
              <w:rPr>
                <w:rFonts w:ascii="Arial" w:hAnsi="Arial" w:cs="Arial"/>
                <w:sz w:val="18"/>
                <w:szCs w:val="18"/>
              </w:rPr>
              <w:t>Non-invasive blood pressure and heart rate (tail cuff method)</w:t>
            </w:r>
          </w:p>
        </w:tc>
        <w:tc>
          <w:tcPr>
            <w:tcW w:w="1908" w:type="dxa"/>
            <w:gridSpan w:val="2"/>
          </w:tcPr>
          <w:p w14:paraId="7F4FD547" w14:textId="77777777" w:rsidR="00AF6187" w:rsidRPr="005F217A" w:rsidRDefault="00AF6187" w:rsidP="00AF6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</w:tcPr>
          <w:p w14:paraId="34B60BF7" w14:textId="46E66EAB" w:rsidR="00AF6187" w:rsidRDefault="00AF6187" w:rsidP="00AF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$50</w:t>
            </w:r>
          </w:p>
        </w:tc>
        <w:tc>
          <w:tcPr>
            <w:tcW w:w="1637" w:type="dxa"/>
          </w:tcPr>
          <w:p w14:paraId="46F5D048" w14:textId="77777777" w:rsidR="00AF6187" w:rsidRPr="005F217A" w:rsidRDefault="00AF6187" w:rsidP="00AF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187" w:rsidRPr="005F217A" w14:paraId="0FA453B7" w14:textId="77777777" w:rsidTr="006C5424">
        <w:trPr>
          <w:trHeight w:val="229"/>
        </w:trPr>
        <w:tc>
          <w:tcPr>
            <w:tcW w:w="10098" w:type="dxa"/>
            <w:gridSpan w:val="5"/>
          </w:tcPr>
          <w:p w14:paraId="4018B9FF" w14:textId="2FAFE7BB" w:rsidR="00AF6187" w:rsidRPr="005F217A" w:rsidRDefault="00AF6187" w:rsidP="00AF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262">
              <w:rPr>
                <w:rFonts w:ascii="Arial" w:hAnsi="Arial" w:cs="Arial"/>
                <w:b/>
                <w:sz w:val="18"/>
                <w:szCs w:val="18"/>
              </w:rPr>
              <w:t>Lipid Metabolism:</w:t>
            </w:r>
          </w:p>
        </w:tc>
      </w:tr>
      <w:tr w:rsidR="00AF6187" w:rsidRPr="005F217A" w14:paraId="06B72953" w14:textId="77777777" w:rsidTr="00B102AE">
        <w:trPr>
          <w:trHeight w:val="229"/>
        </w:trPr>
        <w:tc>
          <w:tcPr>
            <w:tcW w:w="4388" w:type="dxa"/>
            <w:shd w:val="clear" w:color="auto" w:fill="auto"/>
          </w:tcPr>
          <w:p w14:paraId="25495E61" w14:textId="0B1E96C8" w:rsidR="00AF6187" w:rsidRPr="00D71394" w:rsidRDefault="00AF6187" w:rsidP="00AF6187">
            <w:pPr>
              <w:rPr>
                <w:rFonts w:ascii="Arial" w:hAnsi="Arial" w:cs="Arial"/>
                <w:sz w:val="18"/>
                <w:szCs w:val="18"/>
              </w:rPr>
            </w:pPr>
            <w:r w:rsidRPr="00D47B54">
              <w:rPr>
                <w:rFonts w:ascii="Arial" w:hAnsi="Arial" w:cs="Arial"/>
                <w:sz w:val="18"/>
                <w:szCs w:val="18"/>
              </w:rPr>
              <w:t>In vivo fatty acid uptake assay (</w:t>
            </w:r>
            <w:r w:rsidRPr="00D47B54">
              <w:rPr>
                <w:rFonts w:ascii="Arial" w:hAnsi="Arial" w:cs="Arial"/>
                <w:spacing w:val="9"/>
                <w:sz w:val="18"/>
                <w:szCs w:val="18"/>
              </w:rPr>
              <w:t>R-2-Bromopalmitic acid [9,10-3H]</w:t>
            </w:r>
            <w:r w:rsidRPr="00D47B5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8" w:type="dxa"/>
            <w:gridSpan w:val="2"/>
            <w:shd w:val="clear" w:color="auto" w:fill="auto"/>
          </w:tcPr>
          <w:p w14:paraId="0AB6718E" w14:textId="77777777" w:rsidR="00AF6187" w:rsidRPr="005F217A" w:rsidRDefault="00AF6187" w:rsidP="00AF6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14:paraId="49BE9DFE" w14:textId="77777777" w:rsidR="00AF6187" w:rsidRPr="00245D3B" w:rsidRDefault="00AF6187" w:rsidP="00AF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inquire</w:t>
            </w:r>
          </w:p>
          <w:p w14:paraId="142EFE8C" w14:textId="77777777" w:rsidR="00AF6187" w:rsidRDefault="00AF6187" w:rsidP="00AF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14:paraId="69E80FE8" w14:textId="77777777" w:rsidR="00AF6187" w:rsidRPr="005F217A" w:rsidRDefault="00AF6187" w:rsidP="00AF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187" w:rsidRPr="005F217A" w14:paraId="6096F63D" w14:textId="77777777" w:rsidTr="00B102AE">
        <w:trPr>
          <w:trHeight w:val="229"/>
        </w:trPr>
        <w:tc>
          <w:tcPr>
            <w:tcW w:w="4388" w:type="dxa"/>
            <w:tcBorders>
              <w:bottom w:val="single" w:sz="12" w:space="0" w:color="auto"/>
            </w:tcBorders>
            <w:shd w:val="clear" w:color="auto" w:fill="auto"/>
          </w:tcPr>
          <w:p w14:paraId="6081FD7C" w14:textId="117686D0" w:rsidR="00AF6187" w:rsidRPr="00D71394" w:rsidRDefault="00AF6187" w:rsidP="00AF6187">
            <w:pPr>
              <w:rPr>
                <w:rFonts w:ascii="Arial" w:hAnsi="Arial" w:cs="Arial"/>
                <w:sz w:val="18"/>
                <w:szCs w:val="18"/>
              </w:rPr>
            </w:pPr>
            <w:r w:rsidRPr="00245D3B">
              <w:rPr>
                <w:rFonts w:ascii="Arial" w:hAnsi="Arial" w:cs="Arial"/>
                <w:sz w:val="18"/>
                <w:szCs w:val="18"/>
              </w:rPr>
              <w:t>In vivo triglyceride production rate</w:t>
            </w:r>
          </w:p>
        </w:tc>
        <w:tc>
          <w:tcPr>
            <w:tcW w:w="190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5E65629" w14:textId="77777777" w:rsidR="00AF6187" w:rsidRPr="005F217A" w:rsidRDefault="00AF6187" w:rsidP="00AF6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bottom w:val="single" w:sz="12" w:space="0" w:color="auto"/>
            </w:tcBorders>
            <w:shd w:val="clear" w:color="auto" w:fill="auto"/>
          </w:tcPr>
          <w:p w14:paraId="2084541D" w14:textId="5190522B" w:rsidR="00AF6187" w:rsidRDefault="00AF6187" w:rsidP="00AF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D3B"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  <w:tc>
          <w:tcPr>
            <w:tcW w:w="1637" w:type="dxa"/>
          </w:tcPr>
          <w:p w14:paraId="0F9BA1B2" w14:textId="77777777" w:rsidR="00AF6187" w:rsidRPr="005F217A" w:rsidRDefault="00AF6187" w:rsidP="00AF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187" w:rsidRPr="005F217A" w14:paraId="3A8E92B8" w14:textId="77777777" w:rsidTr="00670715">
        <w:trPr>
          <w:trHeight w:val="229"/>
        </w:trPr>
        <w:tc>
          <w:tcPr>
            <w:tcW w:w="10098" w:type="dxa"/>
            <w:gridSpan w:val="5"/>
          </w:tcPr>
          <w:p w14:paraId="04DD583B" w14:textId="2A4701AF" w:rsidR="00AF6187" w:rsidRPr="005F217A" w:rsidRDefault="00AF6187" w:rsidP="00AF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187">
              <w:rPr>
                <w:rFonts w:ascii="Arial" w:hAnsi="Arial" w:cs="Arial"/>
                <w:b/>
                <w:sz w:val="18"/>
                <w:szCs w:val="18"/>
              </w:rPr>
              <w:t>Other:</w:t>
            </w:r>
          </w:p>
        </w:tc>
      </w:tr>
      <w:tr w:rsidR="00AF6187" w:rsidRPr="005F217A" w14:paraId="60FFA1AE" w14:textId="77777777" w:rsidTr="00BB1295">
        <w:trPr>
          <w:trHeight w:val="229"/>
        </w:trPr>
        <w:tc>
          <w:tcPr>
            <w:tcW w:w="4388" w:type="dxa"/>
            <w:shd w:val="clear" w:color="auto" w:fill="auto"/>
          </w:tcPr>
          <w:p w14:paraId="6B127103" w14:textId="2F8B397E" w:rsidR="00AF6187" w:rsidRPr="00D71394" w:rsidRDefault="00AF6187" w:rsidP="00AF6187">
            <w:pPr>
              <w:rPr>
                <w:rFonts w:ascii="Arial" w:hAnsi="Arial" w:cs="Arial"/>
                <w:sz w:val="18"/>
                <w:szCs w:val="18"/>
              </w:rPr>
            </w:pPr>
            <w:r w:rsidRPr="003A3DA0">
              <w:rPr>
                <w:rFonts w:ascii="Arial" w:hAnsi="Arial" w:cs="Arial"/>
                <w:sz w:val="18"/>
                <w:szCs w:val="18"/>
              </w:rPr>
              <w:t>Manual measurement of body weight, food intake and/or supply of special diet/water</w:t>
            </w:r>
          </w:p>
        </w:tc>
        <w:tc>
          <w:tcPr>
            <w:tcW w:w="1908" w:type="dxa"/>
            <w:gridSpan w:val="2"/>
            <w:shd w:val="clear" w:color="auto" w:fill="auto"/>
          </w:tcPr>
          <w:p w14:paraId="3D865DD3" w14:textId="77777777" w:rsidR="00AF6187" w:rsidRPr="005F217A" w:rsidRDefault="00AF6187" w:rsidP="00AF6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14:paraId="17927C76" w14:textId="77777777" w:rsidR="00AF6187" w:rsidRPr="003A3DA0" w:rsidRDefault="00AF6187" w:rsidP="00AF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DA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A3DA0">
              <w:rPr>
                <w:rFonts w:ascii="Arial" w:hAnsi="Arial" w:cs="Arial"/>
                <w:sz w:val="18"/>
                <w:szCs w:val="18"/>
              </w:rPr>
              <w:t>/day</w:t>
            </w:r>
          </w:p>
          <w:p w14:paraId="66CA4A7B" w14:textId="77777777" w:rsidR="00AF6187" w:rsidRDefault="00AF6187" w:rsidP="00AF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14:paraId="799840EC" w14:textId="77777777" w:rsidR="00AF6187" w:rsidRPr="005F217A" w:rsidRDefault="00AF6187" w:rsidP="00AF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187" w:rsidRPr="005F217A" w14:paraId="2494570B" w14:textId="77777777" w:rsidTr="00BB1295">
        <w:trPr>
          <w:trHeight w:val="229"/>
        </w:trPr>
        <w:tc>
          <w:tcPr>
            <w:tcW w:w="4388" w:type="dxa"/>
            <w:shd w:val="clear" w:color="auto" w:fill="auto"/>
          </w:tcPr>
          <w:p w14:paraId="55B75508" w14:textId="4F949074" w:rsidR="00AF6187" w:rsidRPr="00D71394" w:rsidRDefault="00AF6187" w:rsidP="00AF61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Grip strength testin</w:t>
            </w:r>
            <w:r w:rsidR="00AA221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908" w:type="dxa"/>
            <w:gridSpan w:val="2"/>
            <w:shd w:val="clear" w:color="auto" w:fill="auto"/>
          </w:tcPr>
          <w:p w14:paraId="7545FF0D" w14:textId="77777777" w:rsidR="00AF6187" w:rsidRPr="005F217A" w:rsidRDefault="00AF6187" w:rsidP="00AF6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14:paraId="19568C30" w14:textId="250810BC" w:rsidR="00AF6187" w:rsidRDefault="00AF6187" w:rsidP="00AF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DA0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A3D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37" w:type="dxa"/>
          </w:tcPr>
          <w:p w14:paraId="284CC7A9" w14:textId="77777777" w:rsidR="00AF6187" w:rsidRPr="005F217A" w:rsidRDefault="00AF6187" w:rsidP="00AF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187" w:rsidRPr="005F217A" w14:paraId="125EB7F6" w14:textId="77777777" w:rsidTr="00BB1295">
        <w:trPr>
          <w:trHeight w:val="229"/>
        </w:trPr>
        <w:tc>
          <w:tcPr>
            <w:tcW w:w="4388" w:type="dxa"/>
            <w:tcBorders>
              <w:bottom w:val="single" w:sz="12" w:space="0" w:color="auto"/>
            </w:tcBorders>
            <w:shd w:val="clear" w:color="auto" w:fill="auto"/>
          </w:tcPr>
          <w:p w14:paraId="403AAFF0" w14:textId="41C123CF" w:rsidR="00AF6187" w:rsidRPr="00D71394" w:rsidRDefault="00AF6187" w:rsidP="00AF61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Retro-orbital injection</w:t>
            </w:r>
          </w:p>
        </w:tc>
        <w:tc>
          <w:tcPr>
            <w:tcW w:w="190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67C6A06" w14:textId="77777777" w:rsidR="00AF6187" w:rsidRPr="005F217A" w:rsidRDefault="00AF6187" w:rsidP="00AF6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bottom w:val="single" w:sz="12" w:space="0" w:color="auto"/>
            </w:tcBorders>
            <w:shd w:val="clear" w:color="auto" w:fill="auto"/>
          </w:tcPr>
          <w:p w14:paraId="0DFC27DF" w14:textId="05A31E2B" w:rsidR="00AF6187" w:rsidRDefault="00AF6187" w:rsidP="00AF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$50</w:t>
            </w:r>
          </w:p>
        </w:tc>
        <w:tc>
          <w:tcPr>
            <w:tcW w:w="1637" w:type="dxa"/>
          </w:tcPr>
          <w:p w14:paraId="1D9258A0" w14:textId="77777777" w:rsidR="00AF6187" w:rsidRPr="005F217A" w:rsidRDefault="00AF6187" w:rsidP="00AF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187" w:rsidRPr="005F217A" w14:paraId="4455E0C7" w14:textId="77777777" w:rsidTr="00BB1295">
        <w:trPr>
          <w:trHeight w:val="229"/>
        </w:trPr>
        <w:tc>
          <w:tcPr>
            <w:tcW w:w="4388" w:type="dxa"/>
            <w:tcBorders>
              <w:bottom w:val="single" w:sz="12" w:space="0" w:color="auto"/>
            </w:tcBorders>
            <w:shd w:val="clear" w:color="auto" w:fill="auto"/>
          </w:tcPr>
          <w:p w14:paraId="532264A7" w14:textId="0D7570A1" w:rsidR="00AF6187" w:rsidRPr="00D71394" w:rsidRDefault="00AF6187" w:rsidP="00AF61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Oral gavage</w:t>
            </w:r>
          </w:p>
        </w:tc>
        <w:tc>
          <w:tcPr>
            <w:tcW w:w="190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97C45BD" w14:textId="77777777" w:rsidR="00AF6187" w:rsidRPr="005F217A" w:rsidRDefault="00AF6187" w:rsidP="00AF6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bottom w:val="single" w:sz="12" w:space="0" w:color="auto"/>
            </w:tcBorders>
            <w:shd w:val="clear" w:color="auto" w:fill="auto"/>
          </w:tcPr>
          <w:p w14:paraId="5F8C5327" w14:textId="0545898D" w:rsidR="00AF6187" w:rsidRDefault="00AF6187" w:rsidP="00AF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</w:t>
            </w:r>
          </w:p>
        </w:tc>
        <w:tc>
          <w:tcPr>
            <w:tcW w:w="1637" w:type="dxa"/>
          </w:tcPr>
          <w:p w14:paraId="255EE3CC" w14:textId="77777777" w:rsidR="00AF6187" w:rsidRPr="005F217A" w:rsidRDefault="00AF6187" w:rsidP="00AF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187" w:rsidRPr="005F217A" w14:paraId="4345F057" w14:textId="77777777" w:rsidTr="00BB1295">
        <w:trPr>
          <w:trHeight w:val="229"/>
        </w:trPr>
        <w:tc>
          <w:tcPr>
            <w:tcW w:w="4388" w:type="dxa"/>
            <w:tcBorders>
              <w:bottom w:val="single" w:sz="12" w:space="0" w:color="auto"/>
            </w:tcBorders>
            <w:shd w:val="clear" w:color="auto" w:fill="auto"/>
          </w:tcPr>
          <w:p w14:paraId="7420CF8D" w14:textId="046447BF" w:rsidR="00AF6187" w:rsidRPr="00D71394" w:rsidRDefault="00AF6187" w:rsidP="00AF61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Diem Cage Cost</w:t>
            </w:r>
          </w:p>
        </w:tc>
        <w:tc>
          <w:tcPr>
            <w:tcW w:w="190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9C74764" w14:textId="77777777" w:rsidR="00AF6187" w:rsidRPr="005F217A" w:rsidRDefault="00AF6187" w:rsidP="00AF6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bottom w:val="single" w:sz="12" w:space="0" w:color="auto"/>
            </w:tcBorders>
            <w:shd w:val="clear" w:color="auto" w:fill="auto"/>
          </w:tcPr>
          <w:p w14:paraId="5D0A81D8" w14:textId="2BB004D3" w:rsidR="00AF6187" w:rsidRDefault="00AF6187" w:rsidP="00AF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$0.99/day</w:t>
            </w:r>
          </w:p>
        </w:tc>
        <w:tc>
          <w:tcPr>
            <w:tcW w:w="1637" w:type="dxa"/>
          </w:tcPr>
          <w:p w14:paraId="77243659" w14:textId="77777777" w:rsidR="00AF6187" w:rsidRPr="005F217A" w:rsidRDefault="00AF6187" w:rsidP="00AF6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187" w:rsidRPr="00025262" w14:paraId="017B86E7" w14:textId="77777777" w:rsidTr="00541F4C">
        <w:trPr>
          <w:trHeight w:val="237"/>
        </w:trPr>
        <w:tc>
          <w:tcPr>
            <w:tcW w:w="10098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C79A4C" w14:textId="24554785" w:rsidR="00AF6187" w:rsidRPr="003B7F71" w:rsidRDefault="00AF6187" w:rsidP="00AF6187">
            <w:pPr>
              <w:ind w:left="5760"/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13809924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</w:t>
            </w:r>
            <w:r w:rsidRPr="005F217A">
              <w:rPr>
                <w:rFonts w:ascii="Arial" w:hAnsi="Arial" w:cs="Arial"/>
                <w:b/>
                <w:sz w:val="18"/>
                <w:szCs w:val="18"/>
              </w:rPr>
              <w:t>Total   $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tbl>
            <w:tblPr>
              <w:tblpPr w:leftFromText="180" w:rightFromText="180" w:vertAnchor="text" w:tblpX="-90" w:tblpY="1"/>
              <w:tblOverlap w:val="never"/>
              <w:tblW w:w="100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70"/>
              <w:gridCol w:w="1980"/>
              <w:gridCol w:w="2610"/>
              <w:gridCol w:w="1620"/>
            </w:tblGrid>
            <w:tr w:rsidR="00AF6187" w:rsidRPr="005F217A" w14:paraId="72E54149" w14:textId="77777777" w:rsidTr="00541F4C">
              <w:trPr>
                <w:trHeight w:val="172"/>
              </w:trPr>
              <w:tc>
                <w:tcPr>
                  <w:tcW w:w="10080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284FCDB" w14:textId="0269F30A" w:rsidR="00AF6187" w:rsidRPr="005F217A" w:rsidRDefault="00AF6187" w:rsidP="00AF6187">
                  <w:pPr>
                    <w:tabs>
                      <w:tab w:val="left" w:pos="3744"/>
                      <w:tab w:val="right" w:pos="876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6187" w:rsidRPr="005F217A" w14:paraId="2C5FF8B8" w14:textId="77777777" w:rsidTr="00541F4C">
              <w:trPr>
                <w:trHeight w:val="217"/>
              </w:trPr>
              <w:tc>
                <w:tcPr>
                  <w:tcW w:w="10080" w:type="dxa"/>
                  <w:gridSpan w:val="4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8144320" w14:textId="75652858" w:rsidR="00AF6187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217A">
                    <w:rPr>
                      <w:rFonts w:ascii="Arial" w:hAnsi="Arial" w:cs="Arial"/>
                      <w:b/>
                      <w:sz w:val="18"/>
                      <w:szCs w:val="18"/>
                    </w:rPr>
                    <w:t>Glucose Metabolism:</w:t>
                  </w:r>
                </w:p>
              </w:tc>
            </w:tr>
            <w:tr w:rsidR="00AF6187" w:rsidRPr="005F217A" w14:paraId="0C8EACC4" w14:textId="77777777" w:rsidTr="00541F4C">
              <w:trPr>
                <w:trHeight w:val="217"/>
              </w:trPr>
              <w:tc>
                <w:tcPr>
                  <w:tcW w:w="387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D532344" w14:textId="77777777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217A">
                    <w:rPr>
                      <w:rFonts w:ascii="Arial" w:hAnsi="Arial" w:cs="Arial"/>
                      <w:sz w:val="18"/>
                      <w:szCs w:val="18"/>
                    </w:rPr>
                    <w:t>Assay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 for mice</w:t>
                  </w:r>
                </w:p>
                <w:p w14:paraId="692F4622" w14:textId="77777777" w:rsidR="00AF6187" w:rsidRPr="00E14CE9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5A280C9" w14:textId="597CC4EA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Sample number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6337137" w14:textId="229B1D5A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Cost per mouse</w:t>
                  </w:r>
                </w:p>
              </w:tc>
              <w:tc>
                <w:tcPr>
                  <w:tcW w:w="162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E8B2ECA" w14:textId="33C1BF17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Total</w:t>
                  </w:r>
                </w:p>
              </w:tc>
            </w:tr>
            <w:tr w:rsidR="00AF6187" w:rsidRPr="005F217A" w14:paraId="7C408D65" w14:textId="77777777" w:rsidTr="00541F4C">
              <w:trPr>
                <w:trHeight w:val="217"/>
              </w:trPr>
              <w:tc>
                <w:tcPr>
                  <w:tcW w:w="387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600684BB" w14:textId="77777777" w:rsidR="00AF6187" w:rsidRPr="00E14CE9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4CE9">
                    <w:rPr>
                      <w:rFonts w:ascii="Arial" w:hAnsi="Arial" w:cs="Arial"/>
                      <w:sz w:val="18"/>
                      <w:szCs w:val="18"/>
                    </w:rPr>
                    <w:t xml:space="preserve">Glucose tolerance test </w:t>
                  </w:r>
                  <w:r w:rsidRPr="00E14CE9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(intraperitoneal)</w:t>
                  </w:r>
                </w:p>
              </w:tc>
              <w:tc>
                <w:tcPr>
                  <w:tcW w:w="198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751ED378" w14:textId="77777777" w:rsidR="00AF6187" w:rsidRPr="005F217A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3AA3A51F" w14:textId="77777777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217A"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330259EC" w14:textId="77777777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6187" w:rsidRPr="005F217A" w14:paraId="4AF53D45" w14:textId="77777777" w:rsidTr="00541F4C">
              <w:trPr>
                <w:trHeight w:val="242"/>
              </w:trPr>
              <w:tc>
                <w:tcPr>
                  <w:tcW w:w="3870" w:type="dxa"/>
                  <w:shd w:val="clear" w:color="auto" w:fill="auto"/>
                </w:tcPr>
                <w:p w14:paraId="537D53A7" w14:textId="77777777" w:rsidR="00AF6187" w:rsidRPr="00E14CE9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4CE9">
                    <w:rPr>
                      <w:rFonts w:ascii="Arial" w:hAnsi="Arial" w:cs="Arial"/>
                      <w:sz w:val="18"/>
                      <w:szCs w:val="18"/>
                    </w:rPr>
                    <w:t xml:space="preserve">Insulin tolerance test </w:t>
                  </w:r>
                  <w:r w:rsidRPr="00E14CE9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(intraperitoneal)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09FF002B" w14:textId="77777777" w:rsidR="00AF6187" w:rsidRPr="005F217A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16B62493" w14:textId="77777777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217A"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4A5E2A8" w14:textId="77777777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6187" w:rsidRPr="005F217A" w14:paraId="6C6634FE" w14:textId="77777777" w:rsidTr="00541F4C">
              <w:trPr>
                <w:trHeight w:val="395"/>
              </w:trPr>
              <w:tc>
                <w:tcPr>
                  <w:tcW w:w="3870" w:type="dxa"/>
                  <w:shd w:val="clear" w:color="auto" w:fill="auto"/>
                  <w:vAlign w:val="center"/>
                </w:tcPr>
                <w:p w14:paraId="3D3C4BAB" w14:textId="77777777" w:rsidR="00AF6187" w:rsidRPr="00E14CE9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4CE9">
                    <w:rPr>
                      <w:rFonts w:ascii="Arial" w:hAnsi="Arial" w:cs="Arial"/>
                      <w:sz w:val="18"/>
                      <w:szCs w:val="18"/>
                    </w:rPr>
                    <w:t xml:space="preserve">Pyruvate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E14CE9">
                    <w:rPr>
                      <w:rFonts w:ascii="Arial" w:hAnsi="Arial" w:cs="Arial"/>
                      <w:sz w:val="18"/>
                      <w:szCs w:val="18"/>
                    </w:rPr>
                    <w:t xml:space="preserve">olerance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E14CE9">
                    <w:rPr>
                      <w:rFonts w:ascii="Arial" w:hAnsi="Arial" w:cs="Arial"/>
                      <w:sz w:val="18"/>
                      <w:szCs w:val="18"/>
                    </w:rPr>
                    <w:t xml:space="preserve">est </w:t>
                  </w:r>
                  <w:r w:rsidRPr="00E14CE9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(intraperitoneal)</w:t>
                  </w:r>
                  <w:r w:rsidRPr="00E14CE9">
                    <w:rPr>
                      <w:rFonts w:ascii="Arial" w:hAnsi="Arial" w:cs="Arial"/>
                      <w:sz w:val="18"/>
                      <w:szCs w:val="18"/>
                    </w:rPr>
                    <w:t xml:space="preserve"> (Gluconeogenesis)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4D2FC386" w14:textId="77777777" w:rsidR="00AF6187" w:rsidRPr="005F217A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3C6CD4CE" w14:textId="77777777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217A">
                    <w:rPr>
                      <w:rFonts w:ascii="Arial" w:hAnsi="Arial" w:cs="Arial"/>
                      <w:sz w:val="18"/>
                      <w:szCs w:val="18"/>
                    </w:rPr>
                    <w:t>$40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62CB69B" w14:textId="77777777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6187" w:rsidRPr="005F217A" w14:paraId="3FD3F85F" w14:textId="77777777" w:rsidTr="00541F4C">
              <w:trPr>
                <w:trHeight w:val="432"/>
              </w:trPr>
              <w:tc>
                <w:tcPr>
                  <w:tcW w:w="3870" w:type="dxa"/>
                  <w:shd w:val="clear" w:color="auto" w:fill="auto"/>
                  <w:vAlign w:val="center"/>
                </w:tcPr>
                <w:p w14:paraId="280BE890" w14:textId="77777777" w:rsidR="00AF6187" w:rsidRPr="005F217A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217A">
                    <w:rPr>
                      <w:rFonts w:ascii="Arial" w:hAnsi="Arial" w:cs="Arial"/>
                      <w:sz w:val="18"/>
                      <w:szCs w:val="18"/>
                    </w:rPr>
                    <w:t>In vivo insulin signaling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F217A">
                    <w:rPr>
                      <w:rFonts w:ascii="Arial" w:hAnsi="Arial" w:cs="Arial"/>
                      <w:sz w:val="18"/>
                      <w:szCs w:val="18"/>
                    </w:rPr>
                    <w:t>(Bolus IV insulin injection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F217A">
                    <w:rPr>
                      <w:rFonts w:ascii="Arial" w:hAnsi="Arial" w:cs="Arial"/>
                      <w:sz w:val="18"/>
                      <w:szCs w:val="18"/>
                    </w:rPr>
                    <w:t>+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</w:t>
                  </w:r>
                  <w:r w:rsidRPr="005F217A">
                    <w:rPr>
                      <w:rFonts w:ascii="Arial" w:hAnsi="Arial" w:cs="Arial"/>
                      <w:sz w:val="18"/>
                      <w:szCs w:val="18"/>
                    </w:rPr>
                    <w:t>issue harvesting)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6BE5B28D" w14:textId="77777777" w:rsidR="00AF6187" w:rsidRPr="005F217A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65FFCE0C" w14:textId="77777777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217A">
                    <w:rPr>
                      <w:rFonts w:ascii="Arial" w:hAnsi="Arial" w:cs="Arial"/>
                      <w:sz w:val="18"/>
                      <w:szCs w:val="18"/>
                    </w:rPr>
                    <w:t>$50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19081E5" w14:textId="77777777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6187" w:rsidRPr="005F217A" w14:paraId="275B7C6D" w14:textId="77777777" w:rsidTr="00541F4C">
              <w:trPr>
                <w:trHeight w:val="432"/>
              </w:trPr>
              <w:tc>
                <w:tcPr>
                  <w:tcW w:w="10080" w:type="dxa"/>
                  <w:gridSpan w:val="4"/>
                  <w:shd w:val="clear" w:color="auto" w:fill="auto"/>
                  <w:vAlign w:val="center"/>
                </w:tcPr>
                <w:p w14:paraId="5FD27190" w14:textId="30B2446C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7F7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Costs for individual surgical services: Users are only charged for successful surgeries (animals healthy and functional, patent catheters):</w:t>
                  </w:r>
                </w:p>
              </w:tc>
            </w:tr>
            <w:tr w:rsidR="00AF6187" w:rsidRPr="005F217A" w14:paraId="6597B31C" w14:textId="77777777" w:rsidTr="00541F4C">
              <w:trPr>
                <w:trHeight w:val="432"/>
              </w:trPr>
              <w:tc>
                <w:tcPr>
                  <w:tcW w:w="3870" w:type="dxa"/>
                  <w:shd w:val="clear" w:color="auto" w:fill="auto"/>
                </w:tcPr>
                <w:p w14:paraId="4256E14D" w14:textId="6FCDA997" w:rsidR="00AF6187" w:rsidRPr="005F217A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Arterial or jugular catheterization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1A0E2217" w14:textId="77777777" w:rsidR="00AF6187" w:rsidRPr="005F217A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2B3E7B0A" w14:textId="3FF0041C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$100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702E855" w14:textId="77777777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6187" w:rsidRPr="005F217A" w14:paraId="71FEED2F" w14:textId="77777777" w:rsidTr="00541F4C">
              <w:trPr>
                <w:trHeight w:val="432"/>
              </w:trPr>
              <w:tc>
                <w:tcPr>
                  <w:tcW w:w="3870" w:type="dxa"/>
                  <w:shd w:val="clear" w:color="auto" w:fill="auto"/>
                </w:tcPr>
                <w:p w14:paraId="731829CC" w14:textId="75DA828E" w:rsidR="00AF6187" w:rsidRPr="005F217A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Arterial and jugular catheterization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01086E53" w14:textId="77777777" w:rsidR="00AF6187" w:rsidRPr="005F217A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3B7D1954" w14:textId="5ACF805D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$175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94187AE" w14:textId="77777777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6187" w:rsidRPr="005F217A" w14:paraId="063E81AD" w14:textId="77777777" w:rsidTr="00541F4C">
              <w:trPr>
                <w:trHeight w:val="432"/>
              </w:trPr>
              <w:tc>
                <w:tcPr>
                  <w:tcW w:w="10080" w:type="dxa"/>
                  <w:gridSpan w:val="4"/>
                  <w:shd w:val="clear" w:color="auto" w:fill="auto"/>
                  <w:vAlign w:val="center"/>
                </w:tcPr>
                <w:p w14:paraId="5B37C99D" w14:textId="1EAAA378" w:rsidR="00AF6187" w:rsidRPr="003B7F71" w:rsidRDefault="00AF6187" w:rsidP="00AF618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B7F71">
                    <w:rPr>
                      <w:rFonts w:ascii="Arial" w:hAnsi="Arial" w:cs="Arial"/>
                      <w:b/>
                      <w:sz w:val="18"/>
                      <w:szCs w:val="18"/>
                    </w:rPr>
                    <w:t>Clamp procedures in the conscious, un-restrained rodent (includes surgery, analysis and hormones):</w:t>
                  </w:r>
                </w:p>
              </w:tc>
            </w:tr>
            <w:tr w:rsidR="00AF6187" w:rsidRPr="005F217A" w14:paraId="64936C72" w14:textId="77777777" w:rsidTr="00541F4C">
              <w:trPr>
                <w:trHeight w:val="432"/>
              </w:trPr>
              <w:tc>
                <w:tcPr>
                  <w:tcW w:w="387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53BDBCC" w14:textId="29D1F7C5" w:rsidR="00AF6187" w:rsidRPr="005F217A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Stable isotope infusions</w:t>
                  </w:r>
                </w:p>
              </w:tc>
              <w:tc>
                <w:tcPr>
                  <w:tcW w:w="198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46C0D87" w14:textId="77777777" w:rsidR="00AF6187" w:rsidRPr="005F217A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04FEDE0" w14:textId="771AF9A9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$250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6591B3" w14:textId="77777777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6187" w:rsidRPr="005F217A" w14:paraId="3BFDBC62" w14:textId="77777777" w:rsidTr="00541F4C">
              <w:trPr>
                <w:trHeight w:val="432"/>
              </w:trPr>
              <w:tc>
                <w:tcPr>
                  <w:tcW w:w="3870" w:type="dxa"/>
                  <w:shd w:val="clear" w:color="auto" w:fill="auto"/>
                </w:tcPr>
                <w:p w14:paraId="45BA0053" w14:textId="60E8B1F8" w:rsidR="00AF6187" w:rsidRPr="005F217A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1A0302">
                    <w:rPr>
                      <w:rFonts w:ascii="Arial" w:hAnsi="Arial" w:cs="Arial"/>
                      <w:b/>
                      <w:sz w:val="18"/>
                      <w:szCs w:val="18"/>
                    </w:rPr>
                    <w:lastRenderedPageBreak/>
                    <w:t>Hyperinsulinemic</w:t>
                  </w:r>
                  <w:proofErr w:type="spellEnd"/>
                  <w:r w:rsidRPr="001A0302">
                    <w:rPr>
                      <w:rFonts w:ascii="Arial" w:hAnsi="Arial" w:cs="Arial"/>
                      <w:b/>
                      <w:sz w:val="18"/>
                      <w:szCs w:val="18"/>
                    </w:rPr>
                    <w:t>-euglycemic clamp:</w:t>
                  </w:r>
                  <w:r w:rsidRPr="008B542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B542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This procedure will allow investigators to assess whole-body insulin action via the glucose infusion rate (GIR).</w:t>
                  </w:r>
                  <w:r w:rsidRPr="008B542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0BAB5562" w14:textId="77777777" w:rsidR="00AF6187" w:rsidRPr="005F217A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46F7534A" w14:textId="5A004E62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$250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9430AB0" w14:textId="77777777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6187" w:rsidRPr="005F217A" w14:paraId="189E21A6" w14:textId="77777777" w:rsidTr="00541F4C">
              <w:trPr>
                <w:trHeight w:val="432"/>
              </w:trPr>
              <w:tc>
                <w:tcPr>
                  <w:tcW w:w="3870" w:type="dxa"/>
                  <w:shd w:val="clear" w:color="auto" w:fill="auto"/>
                </w:tcPr>
                <w:p w14:paraId="3DA90E70" w14:textId="58CBF6E4" w:rsidR="00AF6187" w:rsidRPr="005F217A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1A0302">
                    <w:rPr>
                      <w:rFonts w:ascii="Arial" w:hAnsi="Arial" w:cs="Arial"/>
                      <w:b/>
                      <w:sz w:val="18"/>
                      <w:szCs w:val="18"/>
                    </w:rPr>
                    <w:t>Hyperinsulinemic</w:t>
                  </w:r>
                  <w:proofErr w:type="spellEnd"/>
                  <w:r w:rsidRPr="001A0302">
                    <w:rPr>
                      <w:rFonts w:ascii="Arial" w:hAnsi="Arial" w:cs="Arial"/>
                      <w:b/>
                      <w:sz w:val="18"/>
                      <w:szCs w:val="18"/>
                    </w:rPr>
                    <w:t>-euglycemic clamp with [3-</w:t>
                  </w:r>
                  <w:r w:rsidRPr="001A0302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3</w:t>
                  </w:r>
                  <w:r w:rsidRPr="001A0302">
                    <w:rPr>
                      <w:rFonts w:ascii="Arial" w:hAnsi="Arial" w:cs="Arial"/>
                      <w:b/>
                      <w:sz w:val="18"/>
                      <w:szCs w:val="18"/>
                    </w:rPr>
                    <w:t>H]:</w:t>
                  </w:r>
                  <w:r w:rsidRPr="008B542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B542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This procedure will allow investigators to assess whole-body insulin action (GIR) and to distinguish between insulin’s effect on endogenous glucose production (</w:t>
                  </w:r>
                  <w:proofErr w:type="spellStart"/>
                  <w:r w:rsidRPr="008B542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EndoRa</w:t>
                  </w:r>
                  <w:proofErr w:type="spellEnd"/>
                  <w:r w:rsidRPr="008B542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) and glucose utilization (Rd).</w:t>
                  </w:r>
                  <w:r w:rsidRPr="008B542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199BADF7" w14:textId="77777777" w:rsidR="00AF6187" w:rsidRPr="005F217A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046D96F4" w14:textId="23CB7B3F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$500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B44C748" w14:textId="77777777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6187" w:rsidRPr="005F217A" w14:paraId="0D1D465E" w14:textId="77777777" w:rsidTr="00541F4C">
              <w:trPr>
                <w:trHeight w:val="432"/>
              </w:trPr>
              <w:tc>
                <w:tcPr>
                  <w:tcW w:w="3870" w:type="dxa"/>
                  <w:shd w:val="clear" w:color="auto" w:fill="auto"/>
                </w:tcPr>
                <w:p w14:paraId="0810FF35" w14:textId="5043E160" w:rsidR="00AF6187" w:rsidRPr="005F217A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1A0302">
                    <w:rPr>
                      <w:rFonts w:ascii="Arial" w:hAnsi="Arial" w:cs="Arial"/>
                      <w:b/>
                      <w:sz w:val="18"/>
                      <w:szCs w:val="18"/>
                    </w:rPr>
                    <w:t>Hyperinsulinemic</w:t>
                  </w:r>
                  <w:proofErr w:type="spellEnd"/>
                  <w:r w:rsidRPr="001A0302">
                    <w:rPr>
                      <w:rFonts w:ascii="Arial" w:hAnsi="Arial" w:cs="Arial"/>
                      <w:b/>
                      <w:sz w:val="18"/>
                      <w:szCs w:val="18"/>
                    </w:rPr>
                    <w:t>-euglycemic clamp with [3-</w:t>
                  </w:r>
                  <w:r w:rsidRPr="001A0302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3</w:t>
                  </w:r>
                  <w:r w:rsidRPr="001A0302">
                    <w:rPr>
                      <w:rFonts w:ascii="Arial" w:hAnsi="Arial" w:cs="Arial"/>
                      <w:b/>
                      <w:sz w:val="18"/>
                      <w:szCs w:val="18"/>
                    </w:rPr>
                    <w:t>H] and [</w:t>
                  </w:r>
                  <w:r w:rsidRPr="001A0302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14</w:t>
                  </w:r>
                  <w:r w:rsidRPr="001A030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C] </w:t>
                  </w:r>
                  <w:proofErr w:type="spellStart"/>
                  <w:r w:rsidRPr="001A0302">
                    <w:rPr>
                      <w:rFonts w:ascii="Arial" w:hAnsi="Arial" w:cs="Arial"/>
                      <w:b/>
                      <w:sz w:val="18"/>
                      <w:szCs w:val="18"/>
                    </w:rPr>
                    <w:t>deoxyglucose</w:t>
                  </w:r>
                  <w:proofErr w:type="spellEnd"/>
                  <w:r w:rsidRPr="001A0302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 w:rsidRPr="008B5427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8B542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This procedure will allow investigators to assess whole-body insulin action (GIR) and to distinguish between insulin’s effect on endogenous glucose production (</w:t>
                  </w:r>
                  <w:proofErr w:type="spellStart"/>
                  <w:r w:rsidRPr="008B542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EndoRa</w:t>
                  </w:r>
                  <w:proofErr w:type="spellEnd"/>
                  <w:r w:rsidRPr="008B542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), glucose utilization (Rd) and to examine insulin’s effect on specific tissues (</w:t>
                  </w:r>
                  <w:proofErr w:type="spellStart"/>
                  <w:r w:rsidRPr="008B542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Rg</w:t>
                  </w:r>
                  <w:proofErr w:type="spellEnd"/>
                  <w:r w:rsidRPr="008B542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; muscle, fat, heart, brain).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0F1B3A78" w14:textId="77777777" w:rsidR="00AF6187" w:rsidRPr="005F217A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229ED980" w14:textId="5729F046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$625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30AB70D" w14:textId="77777777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6187" w:rsidRPr="005F217A" w14:paraId="033788E8" w14:textId="77777777" w:rsidTr="00541F4C">
              <w:trPr>
                <w:trHeight w:val="432"/>
              </w:trPr>
              <w:tc>
                <w:tcPr>
                  <w:tcW w:w="387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149A2C8D" w14:textId="7EF38372" w:rsidR="00AF6187" w:rsidRPr="005F217A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A0302">
                    <w:rPr>
                      <w:rFonts w:ascii="Arial" w:hAnsi="Arial" w:cs="Arial"/>
                      <w:b/>
                      <w:sz w:val="18"/>
                      <w:szCs w:val="18"/>
                    </w:rPr>
                    <w:t>Hyperglycemic clamp:</w:t>
                  </w:r>
                  <w:r w:rsidRPr="008B542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B542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This procedure will allow investigators to test the secretory capacity of pancreatic β-cells by monitoring insulin and C-peptide levels.</w:t>
                  </w:r>
                </w:p>
              </w:tc>
              <w:tc>
                <w:tcPr>
                  <w:tcW w:w="198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9ABDD48" w14:textId="77777777" w:rsidR="00AF6187" w:rsidRPr="005F217A" w:rsidRDefault="00AF6187" w:rsidP="00AF6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1551EF9" w14:textId="5F069A55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$250</w:t>
                  </w:r>
                </w:p>
              </w:tc>
              <w:tc>
                <w:tcPr>
                  <w:tcW w:w="162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49920E33" w14:textId="77777777" w:rsidR="00AF6187" w:rsidRPr="005F217A" w:rsidRDefault="00AF6187" w:rsidP="00AF618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44AAD7B" w14:textId="06241011" w:rsidR="00AF6187" w:rsidRDefault="00AF6187" w:rsidP="00AF6187">
            <w:pPr>
              <w:spacing w:after="120"/>
              <w:contextualSpacing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Total $</w:t>
            </w:r>
          </w:p>
          <w:p w14:paraId="23E774E0" w14:textId="006BA5CA" w:rsidR="00AF6187" w:rsidRPr="00CE5896" w:rsidRDefault="00AF6187" w:rsidP="00AF6187">
            <w:pPr>
              <w:ind w:left="57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</w:p>
        </w:tc>
      </w:tr>
      <w:bookmarkEnd w:id="4"/>
    </w:tbl>
    <w:p w14:paraId="4F621507" w14:textId="77777777" w:rsidR="00427EE6" w:rsidRDefault="00427EE6" w:rsidP="00947F6F">
      <w:pPr>
        <w:rPr>
          <w:rFonts w:ascii="Arial" w:hAnsi="Arial" w:cs="Arial"/>
          <w:b/>
          <w:sz w:val="18"/>
          <w:szCs w:val="18"/>
        </w:rPr>
      </w:pPr>
    </w:p>
    <w:p w14:paraId="631E7DE6" w14:textId="650A182D" w:rsidR="00A67C67" w:rsidRPr="00BB36E9" w:rsidRDefault="00AE4F3E" w:rsidP="00BB36E9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0312A9" w:rsidRPr="00E51E33">
        <w:rPr>
          <w:rFonts w:ascii="Arial" w:hAnsi="Arial" w:cs="Arial"/>
          <w:sz w:val="18"/>
          <w:szCs w:val="18"/>
        </w:rPr>
        <w:t>Please carefully consider your sample size for the glucose clamp studies based on power calculations. For example:  A power calculation (</w:t>
      </w:r>
      <w:r w:rsidR="00100115">
        <w:rPr>
          <w:rFonts w:ascii="Arial" w:hAnsi="Arial" w:cs="Arial"/>
          <w:sz w:val="18"/>
          <w:szCs w:val="18"/>
        </w:rPr>
        <w:sym w:font="Symbol" w:char="F061"/>
      </w:r>
      <w:r w:rsidR="000312A9" w:rsidRPr="00E51E33">
        <w:rPr>
          <w:rFonts w:ascii="Arial" w:hAnsi="Arial" w:cs="Arial"/>
          <w:sz w:val="18"/>
          <w:szCs w:val="18"/>
        </w:rPr>
        <w:t>=0.05, power 80%) performed with published data from clamp studies in germ-line altered mice (mean difference: 25; SD: 15) suggest</w:t>
      </w:r>
      <w:r w:rsidR="00100115">
        <w:rPr>
          <w:rFonts w:ascii="Arial" w:hAnsi="Arial" w:cs="Arial"/>
          <w:sz w:val="18"/>
          <w:szCs w:val="18"/>
        </w:rPr>
        <w:t>s</w:t>
      </w:r>
      <w:r w:rsidR="000312A9" w:rsidRPr="00E51E33">
        <w:rPr>
          <w:rFonts w:ascii="Arial" w:hAnsi="Arial" w:cs="Arial"/>
          <w:sz w:val="18"/>
          <w:szCs w:val="18"/>
        </w:rPr>
        <w:t xml:space="preserve"> </w:t>
      </w:r>
      <w:r w:rsidR="00100115">
        <w:rPr>
          <w:rFonts w:ascii="Arial" w:hAnsi="Arial" w:cs="Arial"/>
          <w:sz w:val="18"/>
          <w:szCs w:val="18"/>
        </w:rPr>
        <w:t xml:space="preserve">that </w:t>
      </w:r>
      <w:r w:rsidR="000312A9" w:rsidRPr="00E51E33">
        <w:rPr>
          <w:rFonts w:ascii="Arial" w:hAnsi="Arial" w:cs="Arial"/>
          <w:sz w:val="18"/>
          <w:szCs w:val="18"/>
        </w:rPr>
        <w:t xml:space="preserve">an n of 6 will detect a 25% change in hepatic glucose production. Therefore, 8 animals per group will </w:t>
      </w:r>
      <w:r w:rsidR="00100115">
        <w:rPr>
          <w:rFonts w:ascii="Arial" w:hAnsi="Arial" w:cs="Arial"/>
          <w:sz w:val="18"/>
          <w:szCs w:val="18"/>
        </w:rPr>
        <w:t xml:space="preserve">typically </w:t>
      </w:r>
      <w:r w:rsidR="000312A9" w:rsidRPr="00E51E33">
        <w:rPr>
          <w:rFonts w:ascii="Arial" w:hAnsi="Arial" w:cs="Arial"/>
          <w:sz w:val="18"/>
          <w:szCs w:val="18"/>
        </w:rPr>
        <w:t>be studied to account for potential catheter failure</w:t>
      </w:r>
      <w:r w:rsidR="00100115">
        <w:rPr>
          <w:rFonts w:ascii="Arial" w:hAnsi="Arial" w:cs="Arial"/>
          <w:sz w:val="18"/>
          <w:szCs w:val="18"/>
        </w:rPr>
        <w:t>s</w:t>
      </w:r>
      <w:r w:rsidR="000312A9" w:rsidRPr="00E51E33">
        <w:rPr>
          <w:rFonts w:ascii="Arial" w:hAnsi="Arial" w:cs="Arial"/>
          <w:sz w:val="18"/>
          <w:szCs w:val="18"/>
        </w:rPr>
        <w:t xml:space="preserve">. We will ensure equal representation of the various groups on individual study days.  </w:t>
      </w:r>
    </w:p>
    <w:p w14:paraId="1AED1675" w14:textId="77777777" w:rsidR="00A67C67" w:rsidRDefault="00A67C67" w:rsidP="00CA5C1B">
      <w:pPr>
        <w:ind w:left="6480"/>
        <w:rPr>
          <w:rFonts w:ascii="Arial" w:hAnsi="Arial" w:cs="Arial"/>
          <w:b/>
          <w:sz w:val="18"/>
          <w:szCs w:val="18"/>
        </w:rPr>
      </w:pPr>
    </w:p>
    <w:p w14:paraId="10AB71AC" w14:textId="5E68E8DB" w:rsidR="00087198" w:rsidRPr="005A072F" w:rsidRDefault="00087198" w:rsidP="00087198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5A072F">
        <w:rPr>
          <w:rFonts w:ascii="Arial" w:hAnsi="Arial" w:cs="Arial"/>
          <w:b/>
          <w:bCs/>
          <w:i/>
          <w:iCs/>
          <w:sz w:val="18"/>
          <w:szCs w:val="18"/>
        </w:rPr>
        <w:t xml:space="preserve">Kindly acknowledge the Penn Diabetes Research Center grant P30-DK19525, and the services of the </w:t>
      </w:r>
      <w:r w:rsidR="005A072F" w:rsidRPr="005A072F">
        <w:rPr>
          <w:rFonts w:ascii="Arial" w:hAnsi="Arial" w:cs="Arial"/>
          <w:b/>
          <w:bCs/>
          <w:i/>
          <w:sz w:val="18"/>
          <w:szCs w:val="18"/>
        </w:rPr>
        <w:t xml:space="preserve">Rodent Metabolic Phenotyping Core </w:t>
      </w:r>
      <w:r w:rsidRPr="005A072F">
        <w:rPr>
          <w:rFonts w:ascii="Arial" w:hAnsi="Arial" w:cs="Arial"/>
          <w:b/>
          <w:bCs/>
          <w:i/>
          <w:iCs/>
          <w:sz w:val="18"/>
          <w:szCs w:val="18"/>
        </w:rPr>
        <w:t xml:space="preserve">in all publications and presentations. </w:t>
      </w:r>
    </w:p>
    <w:p w14:paraId="1C349A4B" w14:textId="77777777" w:rsidR="00087198" w:rsidRPr="005A072F" w:rsidRDefault="00087198" w:rsidP="00087198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290FFBAD" w14:textId="7D732BE4" w:rsidR="00087198" w:rsidRPr="005A072F" w:rsidRDefault="00087198" w:rsidP="00087198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5A072F">
        <w:rPr>
          <w:rFonts w:ascii="Arial" w:hAnsi="Arial" w:cs="Arial"/>
          <w:b/>
          <w:i/>
          <w:iCs/>
          <w:sz w:val="18"/>
          <w:szCs w:val="18"/>
        </w:rPr>
        <w:t xml:space="preserve">Please consider the following guidelines </w:t>
      </w:r>
      <w:r w:rsidR="00100115" w:rsidRPr="005A072F">
        <w:rPr>
          <w:rFonts w:ascii="Arial" w:hAnsi="Arial" w:cs="Arial"/>
          <w:b/>
          <w:i/>
          <w:iCs/>
          <w:sz w:val="18"/>
          <w:szCs w:val="18"/>
        </w:rPr>
        <w:t>when determining whether</w:t>
      </w:r>
      <w:r w:rsidRPr="005A072F">
        <w:rPr>
          <w:rFonts w:ascii="Arial" w:hAnsi="Arial" w:cs="Arial"/>
          <w:b/>
          <w:i/>
          <w:iCs/>
          <w:sz w:val="18"/>
          <w:szCs w:val="18"/>
        </w:rPr>
        <w:t xml:space="preserve"> co-authorship </w:t>
      </w:r>
      <w:r w:rsidR="00100115" w:rsidRPr="005A072F">
        <w:rPr>
          <w:rFonts w:ascii="Arial" w:hAnsi="Arial" w:cs="Arial"/>
          <w:b/>
          <w:i/>
          <w:iCs/>
          <w:sz w:val="18"/>
          <w:szCs w:val="18"/>
        </w:rPr>
        <w:t xml:space="preserve">is warranted </w:t>
      </w:r>
      <w:r w:rsidRPr="005A072F">
        <w:rPr>
          <w:rFonts w:ascii="Arial" w:hAnsi="Arial" w:cs="Arial"/>
          <w:b/>
          <w:i/>
          <w:iCs/>
          <w:sz w:val="18"/>
          <w:szCs w:val="18"/>
        </w:rPr>
        <w:t>for core personnel:</w:t>
      </w:r>
      <w:r w:rsidRPr="005A072F">
        <w:rPr>
          <w:rStyle w:val="apple-converted-space"/>
          <w:rFonts w:ascii="Arial" w:hAnsi="Arial" w:cs="Arial"/>
          <w:b/>
          <w:i/>
          <w:iCs/>
          <w:sz w:val="18"/>
          <w:szCs w:val="18"/>
        </w:rPr>
        <w:t> </w:t>
      </w:r>
      <w:hyperlink r:id="rId9" w:history="1">
        <w:r w:rsidRPr="005A072F">
          <w:rPr>
            <w:rStyle w:val="Hyperlink"/>
            <w:rFonts w:ascii="Arial" w:hAnsi="Arial" w:cs="Arial"/>
            <w:b/>
            <w:i/>
            <w:iCs/>
            <w:color w:val="auto"/>
            <w:sz w:val="18"/>
            <w:szCs w:val="18"/>
          </w:rPr>
          <w:t>https://abrf.org/authorship-guidelines</w:t>
        </w:r>
      </w:hyperlink>
      <w:r w:rsidRPr="005A072F">
        <w:rPr>
          <w:rFonts w:ascii="Arial" w:hAnsi="Arial" w:cs="Arial"/>
          <w:b/>
          <w:i/>
          <w:iCs/>
          <w:sz w:val="18"/>
          <w:szCs w:val="18"/>
        </w:rPr>
        <w:t>.</w:t>
      </w:r>
    </w:p>
    <w:p w14:paraId="6536D9D0" w14:textId="77777777" w:rsidR="00087198" w:rsidRPr="005A072F" w:rsidRDefault="00087198" w:rsidP="00087198">
      <w:pPr>
        <w:contextualSpacing/>
        <w:rPr>
          <w:rFonts w:ascii="Arial" w:hAnsi="Arial" w:cs="Arial"/>
          <w:i/>
          <w:sz w:val="18"/>
          <w:szCs w:val="18"/>
        </w:rPr>
      </w:pPr>
    </w:p>
    <w:p w14:paraId="6D23C78E" w14:textId="77777777" w:rsidR="00087198" w:rsidRPr="005F217A" w:rsidRDefault="00087198" w:rsidP="005F7E48">
      <w:pPr>
        <w:ind w:left="6480"/>
        <w:rPr>
          <w:rFonts w:ascii="Arial" w:hAnsi="Arial" w:cs="Arial"/>
          <w:sz w:val="18"/>
          <w:szCs w:val="18"/>
        </w:rPr>
      </w:pPr>
    </w:p>
    <w:sectPr w:rsidR="00087198" w:rsidRPr="005F217A" w:rsidSect="00E60D09">
      <w:headerReference w:type="default" r:id="rId10"/>
      <w:footerReference w:type="default" r:id="rId11"/>
      <w:pgSz w:w="12240" w:h="15840"/>
      <w:pgMar w:top="1978" w:right="1800" w:bottom="1260" w:left="1800" w:header="720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9C173" w14:textId="77777777" w:rsidR="0022044D" w:rsidRDefault="0022044D">
      <w:r>
        <w:separator/>
      </w:r>
    </w:p>
  </w:endnote>
  <w:endnote w:type="continuationSeparator" w:id="0">
    <w:p w14:paraId="0CFF7CD2" w14:textId="77777777" w:rsidR="0022044D" w:rsidRDefault="0022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104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282CCFE2" w14:textId="777AFD94" w:rsidR="00791639" w:rsidRPr="00780805" w:rsidRDefault="00791639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780805">
          <w:rPr>
            <w:rFonts w:ascii="Arial" w:hAnsi="Arial" w:cs="Arial"/>
            <w:sz w:val="22"/>
            <w:szCs w:val="22"/>
          </w:rPr>
          <w:fldChar w:fldCharType="begin"/>
        </w:r>
        <w:r w:rsidRPr="00780805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80805">
          <w:rPr>
            <w:rFonts w:ascii="Arial" w:hAnsi="Arial" w:cs="Arial"/>
            <w:sz w:val="22"/>
            <w:szCs w:val="22"/>
          </w:rPr>
          <w:fldChar w:fldCharType="separate"/>
        </w:r>
        <w:r w:rsidRPr="00780805">
          <w:rPr>
            <w:rFonts w:ascii="Arial" w:hAnsi="Arial" w:cs="Arial"/>
            <w:noProof/>
            <w:sz w:val="22"/>
            <w:szCs w:val="22"/>
          </w:rPr>
          <w:t>2</w:t>
        </w:r>
        <w:r w:rsidRPr="00780805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643E3151" w14:textId="5352BD16" w:rsidR="008116B1" w:rsidRPr="0001377E" w:rsidRDefault="008116B1" w:rsidP="00830DEE">
    <w:pPr>
      <w:pStyle w:val="Header"/>
      <w:ind w:left="90"/>
      <w:rPr>
        <w:rFonts w:ascii="Arial" w:hAnsi="Arial" w:cs="Arial"/>
        <w:color w:val="18589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23617" w14:textId="77777777" w:rsidR="0022044D" w:rsidRDefault="0022044D">
      <w:r>
        <w:separator/>
      </w:r>
    </w:p>
  </w:footnote>
  <w:footnote w:type="continuationSeparator" w:id="0">
    <w:p w14:paraId="10A0BB98" w14:textId="77777777" w:rsidR="0022044D" w:rsidRDefault="0022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AE324" w14:textId="77777777" w:rsidR="008116B1" w:rsidRPr="00E73AE7" w:rsidRDefault="008116B1" w:rsidP="00F92B3E">
    <w:pPr>
      <w:pStyle w:val="Header"/>
      <w:tabs>
        <w:tab w:val="clear" w:pos="4320"/>
        <w:tab w:val="clear" w:pos="8640"/>
        <w:tab w:val="left" w:pos="2230"/>
        <w:tab w:val="left" w:pos="5670"/>
      </w:tabs>
      <w:ind w:left="994" w:right="-1080"/>
      <w:jc w:val="center"/>
      <w:rPr>
        <w:rFonts w:ascii="Arial" w:hAnsi="Arial" w:cs="Arial"/>
        <w:color w:val="1A2781"/>
        <w:sz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 wp14:anchorId="4301FC63" wp14:editId="3E3C4C97">
          <wp:simplePos x="0" y="0"/>
          <wp:positionH relativeFrom="column">
            <wp:posOffset>1308735</wp:posOffset>
          </wp:positionH>
          <wp:positionV relativeFrom="paragraph">
            <wp:posOffset>2540</wp:posOffset>
          </wp:positionV>
          <wp:extent cx="2985135" cy="710565"/>
          <wp:effectExtent l="0" t="0" r="12065" b="635"/>
          <wp:wrapNone/>
          <wp:docPr id="5" name="Picture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513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89EB1" w14:textId="77777777" w:rsidR="008116B1" w:rsidRPr="00D51521" w:rsidRDefault="008116B1" w:rsidP="002859D3">
    <w:pPr>
      <w:pStyle w:val="Header"/>
      <w:tabs>
        <w:tab w:val="clear" w:pos="4320"/>
        <w:tab w:val="clear" w:pos="8640"/>
        <w:tab w:val="left" w:pos="2230"/>
        <w:tab w:val="left" w:pos="5670"/>
      </w:tabs>
      <w:ind w:left="994" w:right="-1080"/>
      <w:rPr>
        <w:rFonts w:ascii="Times" w:hAnsi="Times"/>
        <w:color w:val="1A2781"/>
        <w:sz w:val="28"/>
      </w:rPr>
    </w:pPr>
    <w:r>
      <w:rPr>
        <w:rFonts w:ascii="Times" w:hAnsi="Times"/>
        <w:color w:val="1A2781"/>
        <w:sz w:val="28"/>
      </w:rPr>
      <w:tab/>
    </w:r>
  </w:p>
  <w:p w14:paraId="28BCB223" w14:textId="77777777" w:rsidR="008116B1" w:rsidRPr="001A72C2" w:rsidRDefault="008116B1" w:rsidP="00E73AE7">
    <w:pPr>
      <w:pStyle w:val="Header"/>
      <w:tabs>
        <w:tab w:val="clear" w:pos="4320"/>
        <w:tab w:val="clear" w:pos="8640"/>
        <w:tab w:val="left" w:pos="5670"/>
      </w:tabs>
      <w:spacing w:before="120"/>
      <w:rPr>
        <w:b/>
        <w:color w:val="1A2781"/>
        <w:sz w:val="20"/>
      </w:rPr>
    </w:pPr>
    <w:r>
      <w:rPr>
        <w:b/>
        <w:color w:val="1A2781"/>
        <w:sz w:val="20"/>
      </w:rPr>
      <w:tab/>
    </w:r>
  </w:p>
  <w:p w14:paraId="6A0AA747" w14:textId="77777777" w:rsidR="008116B1" w:rsidRPr="00233F4D" w:rsidRDefault="008116B1" w:rsidP="001A72C2">
    <w:pPr>
      <w:jc w:val="center"/>
      <w:rPr>
        <w:color w:val="1F497D"/>
        <w:sz w:val="22"/>
        <w:szCs w:val="22"/>
      </w:rPr>
    </w:pPr>
  </w:p>
  <w:p w14:paraId="35C04255" w14:textId="77777777" w:rsidR="008116B1" w:rsidRPr="00E73AE7" w:rsidRDefault="008116B1" w:rsidP="00E42E85">
    <w:pPr>
      <w:jc w:val="center"/>
      <w:rPr>
        <w:rFonts w:ascii="Arial" w:hAnsi="Arial" w:cs="Arial"/>
        <w:b/>
        <w:color w:val="1F497D"/>
        <w:sz w:val="22"/>
        <w:szCs w:val="22"/>
      </w:rPr>
    </w:pPr>
    <w:r w:rsidRPr="00E73AE7">
      <w:rPr>
        <w:rFonts w:ascii="Arial" w:hAnsi="Arial" w:cs="Arial"/>
        <w:b/>
        <w:color w:val="1F497D"/>
        <w:sz w:val="22"/>
        <w:szCs w:val="22"/>
      </w:rPr>
      <w:t>Penn Diabetes Research Center</w:t>
    </w:r>
  </w:p>
  <w:p w14:paraId="058F915A" w14:textId="77777777" w:rsidR="00D15AAE" w:rsidRPr="008C1E3A" w:rsidRDefault="00D15AAE" w:rsidP="00D15AAE">
    <w:pPr>
      <w:jc w:val="center"/>
      <w:rPr>
        <w:rFonts w:ascii="Arial" w:hAnsi="Arial" w:cs="Arial"/>
        <w:b/>
        <w:bCs/>
        <w:sz w:val="22"/>
        <w:szCs w:val="22"/>
      </w:rPr>
    </w:pPr>
    <w:bookmarkStart w:id="5" w:name="_Hlk13721732"/>
    <w:r w:rsidRPr="008C1E3A">
      <w:rPr>
        <w:rFonts w:ascii="Arial" w:hAnsi="Arial" w:cs="Arial"/>
        <w:b/>
        <w:bCs/>
        <w:sz w:val="22"/>
        <w:szCs w:val="22"/>
      </w:rPr>
      <w:t>Rodent Metabolic Phenotyping Core</w:t>
    </w:r>
  </w:p>
  <w:bookmarkEnd w:id="5"/>
  <w:p w14:paraId="22E9EE92" w14:textId="42F06AC6" w:rsidR="008116B1" w:rsidRDefault="008116B1" w:rsidP="00E42E85">
    <w:pPr>
      <w:jc w:val="center"/>
      <w:rPr>
        <w:rFonts w:ascii="Arial" w:hAnsi="Arial" w:cs="Arial"/>
        <w:b/>
        <w:sz w:val="18"/>
        <w:szCs w:val="18"/>
      </w:rPr>
    </w:pPr>
    <w:r w:rsidRPr="00E73AE7">
      <w:rPr>
        <w:rFonts w:ascii="Arial" w:hAnsi="Arial" w:cs="Arial"/>
        <w:b/>
        <w:sz w:val="18"/>
        <w:szCs w:val="18"/>
      </w:rPr>
      <w:t>Director: Joseph Baur, Ph.D.</w:t>
    </w:r>
  </w:p>
  <w:p w14:paraId="5B529B9E" w14:textId="16C25482" w:rsidR="00830DEE" w:rsidRPr="00830DEE" w:rsidRDefault="00830DEE" w:rsidP="00830DEE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Technical Director: Jennifer Rojas, Ph.D.</w:t>
    </w:r>
  </w:p>
  <w:p w14:paraId="03720C51" w14:textId="77777777" w:rsidR="008116B1" w:rsidRDefault="008116B1" w:rsidP="00630099">
    <w:pPr>
      <w:pStyle w:val="Header"/>
      <w:spacing w:before="120"/>
      <w:rPr>
        <w:b/>
        <w:color w:val="1A2781"/>
        <w:sz w:val="16"/>
        <w:szCs w:val="16"/>
      </w:rPr>
    </w:pPr>
    <w:r>
      <w:rPr>
        <w:rFonts w:ascii="Times" w:hAnsi="Times"/>
        <w:noProof/>
        <w:color w:val="1A2781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53028A" wp14:editId="4D953F20">
              <wp:simplePos x="0" y="0"/>
              <wp:positionH relativeFrom="column">
                <wp:posOffset>-62865</wp:posOffset>
              </wp:positionH>
              <wp:positionV relativeFrom="paragraph">
                <wp:posOffset>83185</wp:posOffset>
              </wp:positionV>
              <wp:extent cx="5486400" cy="17145"/>
              <wp:effectExtent l="13335" t="6985" r="24765" b="266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1714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71D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F3713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55pt" to="427.05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" strokecolor="#971d24" strokeweight="1pt"/>
          </w:pict>
        </mc:Fallback>
      </mc:AlternateContent>
    </w:r>
  </w:p>
  <w:p w14:paraId="494F3885" w14:textId="77777777" w:rsidR="008116B1" w:rsidRPr="00630099" w:rsidRDefault="008116B1" w:rsidP="003A3367">
    <w:pPr>
      <w:pStyle w:val="Header"/>
      <w:ind w:left="86"/>
      <w:rPr>
        <w:b/>
        <w:color w:val="185898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868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48D7"/>
    <w:multiLevelType w:val="multilevel"/>
    <w:tmpl w:val="8D68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B674C"/>
    <w:multiLevelType w:val="hybridMultilevel"/>
    <w:tmpl w:val="1F126DAA"/>
    <w:lvl w:ilvl="0" w:tplc="658C10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174974C5"/>
    <w:multiLevelType w:val="hybridMultilevel"/>
    <w:tmpl w:val="25C08516"/>
    <w:lvl w:ilvl="0" w:tplc="A74EC72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 w15:restartNumberingAfterBreak="0">
    <w:nsid w:val="17CE019C"/>
    <w:multiLevelType w:val="multilevel"/>
    <w:tmpl w:val="25C0851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1E544663"/>
    <w:multiLevelType w:val="multilevel"/>
    <w:tmpl w:val="1F126DA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21E055FA"/>
    <w:multiLevelType w:val="hybridMultilevel"/>
    <w:tmpl w:val="8D686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1155F0"/>
    <w:multiLevelType w:val="multilevel"/>
    <w:tmpl w:val="8D68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053B6"/>
    <w:multiLevelType w:val="hybridMultilevel"/>
    <w:tmpl w:val="D416D776"/>
    <w:lvl w:ilvl="0" w:tplc="8A8476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F2C63"/>
    <w:multiLevelType w:val="hybridMultilevel"/>
    <w:tmpl w:val="DE5C12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E0657"/>
    <w:multiLevelType w:val="multilevel"/>
    <w:tmpl w:val="8D68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53927"/>
    <w:multiLevelType w:val="hybridMultilevel"/>
    <w:tmpl w:val="277E6FCA"/>
    <w:lvl w:ilvl="0" w:tplc="175434C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 w15:restartNumberingAfterBreak="0">
    <w:nsid w:val="3F7059DA"/>
    <w:multiLevelType w:val="hybridMultilevel"/>
    <w:tmpl w:val="277E6FCA"/>
    <w:lvl w:ilvl="0" w:tplc="175434C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 w15:restartNumberingAfterBreak="0">
    <w:nsid w:val="3FB413FC"/>
    <w:multiLevelType w:val="hybridMultilevel"/>
    <w:tmpl w:val="25C08516"/>
    <w:lvl w:ilvl="0" w:tplc="A74EC72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 w15:restartNumberingAfterBreak="0">
    <w:nsid w:val="42FC0C7A"/>
    <w:multiLevelType w:val="hybridMultilevel"/>
    <w:tmpl w:val="1F126DAA"/>
    <w:lvl w:ilvl="0" w:tplc="658C10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 w15:restartNumberingAfterBreak="0">
    <w:nsid w:val="45116520"/>
    <w:multiLevelType w:val="multilevel"/>
    <w:tmpl w:val="1F126DA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 w15:restartNumberingAfterBreak="0">
    <w:nsid w:val="5B1F1098"/>
    <w:multiLevelType w:val="multilevel"/>
    <w:tmpl w:val="8D68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1B73CA"/>
    <w:multiLevelType w:val="multilevel"/>
    <w:tmpl w:val="8D68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C181B"/>
    <w:multiLevelType w:val="hybridMultilevel"/>
    <w:tmpl w:val="591E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A7184"/>
    <w:multiLevelType w:val="hybridMultilevel"/>
    <w:tmpl w:val="1F126DAA"/>
    <w:lvl w:ilvl="0" w:tplc="658C10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0" w15:restartNumberingAfterBreak="0">
    <w:nsid w:val="6C705C88"/>
    <w:multiLevelType w:val="hybridMultilevel"/>
    <w:tmpl w:val="8D686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756701"/>
    <w:multiLevelType w:val="multilevel"/>
    <w:tmpl w:val="277E6F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12"/>
  </w:num>
  <w:num w:numId="5">
    <w:abstractNumId w:val="13"/>
  </w:num>
  <w:num w:numId="6">
    <w:abstractNumId w:val="19"/>
  </w:num>
  <w:num w:numId="7">
    <w:abstractNumId w:val="1"/>
  </w:num>
  <w:num w:numId="8">
    <w:abstractNumId w:val="6"/>
  </w:num>
  <w:num w:numId="9">
    <w:abstractNumId w:val="10"/>
  </w:num>
  <w:num w:numId="10">
    <w:abstractNumId w:val="16"/>
  </w:num>
  <w:num w:numId="11">
    <w:abstractNumId w:val="17"/>
  </w:num>
  <w:num w:numId="12">
    <w:abstractNumId w:val="7"/>
  </w:num>
  <w:num w:numId="13">
    <w:abstractNumId w:val="9"/>
  </w:num>
  <w:num w:numId="14">
    <w:abstractNumId w:val="21"/>
  </w:num>
  <w:num w:numId="15">
    <w:abstractNumId w:val="11"/>
  </w:num>
  <w:num w:numId="16">
    <w:abstractNumId w:val="3"/>
  </w:num>
  <w:num w:numId="17">
    <w:abstractNumId w:val="4"/>
  </w:num>
  <w:num w:numId="18">
    <w:abstractNumId w:val="2"/>
  </w:num>
  <w:num w:numId="19">
    <w:abstractNumId w:val="14"/>
  </w:num>
  <w:num w:numId="20">
    <w:abstractNumId w:val="5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CD"/>
    <w:rsid w:val="000116F1"/>
    <w:rsid w:val="0001377E"/>
    <w:rsid w:val="00013C51"/>
    <w:rsid w:val="00025262"/>
    <w:rsid w:val="000312A9"/>
    <w:rsid w:val="00035481"/>
    <w:rsid w:val="00037719"/>
    <w:rsid w:val="00061683"/>
    <w:rsid w:val="00085DEF"/>
    <w:rsid w:val="00087198"/>
    <w:rsid w:val="000A35F8"/>
    <w:rsid w:val="000A4817"/>
    <w:rsid w:val="000B7C3C"/>
    <w:rsid w:val="000C34EB"/>
    <w:rsid w:val="000D1DBA"/>
    <w:rsid w:val="000D719A"/>
    <w:rsid w:val="00100115"/>
    <w:rsid w:val="001204C1"/>
    <w:rsid w:val="001444C7"/>
    <w:rsid w:val="001740F3"/>
    <w:rsid w:val="00183027"/>
    <w:rsid w:val="00194D1E"/>
    <w:rsid w:val="001A0302"/>
    <w:rsid w:val="001A4FCE"/>
    <w:rsid w:val="001A72C2"/>
    <w:rsid w:val="001A7F0D"/>
    <w:rsid w:val="001E339F"/>
    <w:rsid w:val="001F3F19"/>
    <w:rsid w:val="0020004D"/>
    <w:rsid w:val="00217209"/>
    <w:rsid w:val="0022044D"/>
    <w:rsid w:val="0023090F"/>
    <w:rsid w:val="00233F4D"/>
    <w:rsid w:val="00245D3B"/>
    <w:rsid w:val="002472EB"/>
    <w:rsid w:val="00276D62"/>
    <w:rsid w:val="002859D3"/>
    <w:rsid w:val="00294FD8"/>
    <w:rsid w:val="002A118B"/>
    <w:rsid w:val="002A2B69"/>
    <w:rsid w:val="002B5A3C"/>
    <w:rsid w:val="002E1C9E"/>
    <w:rsid w:val="002E48A1"/>
    <w:rsid w:val="002F56FD"/>
    <w:rsid w:val="002F70CE"/>
    <w:rsid w:val="003116B7"/>
    <w:rsid w:val="00352539"/>
    <w:rsid w:val="00356A23"/>
    <w:rsid w:val="00394996"/>
    <w:rsid w:val="003977DD"/>
    <w:rsid w:val="003A3367"/>
    <w:rsid w:val="003A3DA0"/>
    <w:rsid w:val="003A792F"/>
    <w:rsid w:val="003B7F71"/>
    <w:rsid w:val="003C2033"/>
    <w:rsid w:val="003C2E0D"/>
    <w:rsid w:val="003D4BAE"/>
    <w:rsid w:val="003E0ECD"/>
    <w:rsid w:val="00402826"/>
    <w:rsid w:val="00427EE6"/>
    <w:rsid w:val="00443857"/>
    <w:rsid w:val="0044671C"/>
    <w:rsid w:val="00451E67"/>
    <w:rsid w:val="00455FDE"/>
    <w:rsid w:val="00470BC0"/>
    <w:rsid w:val="004723CE"/>
    <w:rsid w:val="00481594"/>
    <w:rsid w:val="00485E67"/>
    <w:rsid w:val="004A4A12"/>
    <w:rsid w:val="004C232C"/>
    <w:rsid w:val="004D4B2D"/>
    <w:rsid w:val="004E5F66"/>
    <w:rsid w:val="004F323A"/>
    <w:rsid w:val="00504A76"/>
    <w:rsid w:val="00506A06"/>
    <w:rsid w:val="00541F4C"/>
    <w:rsid w:val="00542E20"/>
    <w:rsid w:val="00581005"/>
    <w:rsid w:val="005A072F"/>
    <w:rsid w:val="005A38B5"/>
    <w:rsid w:val="005A7CEB"/>
    <w:rsid w:val="005B54CE"/>
    <w:rsid w:val="005C6A2E"/>
    <w:rsid w:val="005D6AC8"/>
    <w:rsid w:val="005F217A"/>
    <w:rsid w:val="005F57CF"/>
    <w:rsid w:val="005F7E48"/>
    <w:rsid w:val="00630099"/>
    <w:rsid w:val="0063563C"/>
    <w:rsid w:val="006444D1"/>
    <w:rsid w:val="00652FB4"/>
    <w:rsid w:val="00661C26"/>
    <w:rsid w:val="006B4629"/>
    <w:rsid w:val="006E4EB9"/>
    <w:rsid w:val="007136AC"/>
    <w:rsid w:val="0071402B"/>
    <w:rsid w:val="00716887"/>
    <w:rsid w:val="0072671D"/>
    <w:rsid w:val="00746374"/>
    <w:rsid w:val="00752CE2"/>
    <w:rsid w:val="00762548"/>
    <w:rsid w:val="00780805"/>
    <w:rsid w:val="00791639"/>
    <w:rsid w:val="007C468C"/>
    <w:rsid w:val="007D4C62"/>
    <w:rsid w:val="007E2DE1"/>
    <w:rsid w:val="007F4689"/>
    <w:rsid w:val="00800420"/>
    <w:rsid w:val="0080077F"/>
    <w:rsid w:val="008010C7"/>
    <w:rsid w:val="00802969"/>
    <w:rsid w:val="00805025"/>
    <w:rsid w:val="008116B1"/>
    <w:rsid w:val="00827362"/>
    <w:rsid w:val="00830DEE"/>
    <w:rsid w:val="00840143"/>
    <w:rsid w:val="008820D6"/>
    <w:rsid w:val="00882809"/>
    <w:rsid w:val="00886652"/>
    <w:rsid w:val="008955BE"/>
    <w:rsid w:val="008B3B60"/>
    <w:rsid w:val="008B5427"/>
    <w:rsid w:val="008D718E"/>
    <w:rsid w:val="009106AC"/>
    <w:rsid w:val="00914580"/>
    <w:rsid w:val="00942064"/>
    <w:rsid w:val="00944E51"/>
    <w:rsid w:val="00947F6F"/>
    <w:rsid w:val="00971B8E"/>
    <w:rsid w:val="009806F8"/>
    <w:rsid w:val="00986296"/>
    <w:rsid w:val="009A08B6"/>
    <w:rsid w:val="009B3A3D"/>
    <w:rsid w:val="009C1D20"/>
    <w:rsid w:val="009C2CB0"/>
    <w:rsid w:val="009C655A"/>
    <w:rsid w:val="00A20520"/>
    <w:rsid w:val="00A215C6"/>
    <w:rsid w:val="00A51835"/>
    <w:rsid w:val="00A54124"/>
    <w:rsid w:val="00A618A9"/>
    <w:rsid w:val="00A67C67"/>
    <w:rsid w:val="00AA2213"/>
    <w:rsid w:val="00AA3D2F"/>
    <w:rsid w:val="00AA4626"/>
    <w:rsid w:val="00AA639A"/>
    <w:rsid w:val="00AD16C6"/>
    <w:rsid w:val="00AD7053"/>
    <w:rsid w:val="00AE1F12"/>
    <w:rsid w:val="00AE4F3E"/>
    <w:rsid w:val="00AF35CB"/>
    <w:rsid w:val="00AF6187"/>
    <w:rsid w:val="00B209C2"/>
    <w:rsid w:val="00B31E87"/>
    <w:rsid w:val="00B46B00"/>
    <w:rsid w:val="00B56850"/>
    <w:rsid w:val="00BB36E9"/>
    <w:rsid w:val="00C30A11"/>
    <w:rsid w:val="00C3529F"/>
    <w:rsid w:val="00C368D2"/>
    <w:rsid w:val="00C42C1C"/>
    <w:rsid w:val="00C615EF"/>
    <w:rsid w:val="00C66C56"/>
    <w:rsid w:val="00C71A23"/>
    <w:rsid w:val="00C82BBA"/>
    <w:rsid w:val="00C85820"/>
    <w:rsid w:val="00CA53B7"/>
    <w:rsid w:val="00CA5C1B"/>
    <w:rsid w:val="00CD6453"/>
    <w:rsid w:val="00CE5896"/>
    <w:rsid w:val="00CF729B"/>
    <w:rsid w:val="00D00BBC"/>
    <w:rsid w:val="00D014D4"/>
    <w:rsid w:val="00D15AAE"/>
    <w:rsid w:val="00D16B29"/>
    <w:rsid w:val="00D30EAD"/>
    <w:rsid w:val="00D30F0A"/>
    <w:rsid w:val="00D35AFF"/>
    <w:rsid w:val="00D366A6"/>
    <w:rsid w:val="00D4478F"/>
    <w:rsid w:val="00D47B54"/>
    <w:rsid w:val="00D71394"/>
    <w:rsid w:val="00DA652E"/>
    <w:rsid w:val="00DA7950"/>
    <w:rsid w:val="00DB6BA8"/>
    <w:rsid w:val="00DE14EE"/>
    <w:rsid w:val="00E02F5E"/>
    <w:rsid w:val="00E14CE9"/>
    <w:rsid w:val="00E215A9"/>
    <w:rsid w:val="00E42E85"/>
    <w:rsid w:val="00E55995"/>
    <w:rsid w:val="00E563F1"/>
    <w:rsid w:val="00E60D09"/>
    <w:rsid w:val="00E720BF"/>
    <w:rsid w:val="00E73AE7"/>
    <w:rsid w:val="00E75EAF"/>
    <w:rsid w:val="00E96303"/>
    <w:rsid w:val="00EB2DE9"/>
    <w:rsid w:val="00EB6C77"/>
    <w:rsid w:val="00EE476F"/>
    <w:rsid w:val="00EF062E"/>
    <w:rsid w:val="00EF3963"/>
    <w:rsid w:val="00F22074"/>
    <w:rsid w:val="00F50D57"/>
    <w:rsid w:val="00F6116E"/>
    <w:rsid w:val="00F61F48"/>
    <w:rsid w:val="00F63310"/>
    <w:rsid w:val="00F65DBC"/>
    <w:rsid w:val="00F70396"/>
    <w:rsid w:val="00F855A2"/>
    <w:rsid w:val="00F91A1B"/>
    <w:rsid w:val="00F92B3E"/>
    <w:rsid w:val="00F93451"/>
    <w:rsid w:val="00FB6E2A"/>
    <w:rsid w:val="00FC7F20"/>
    <w:rsid w:val="00FD42EB"/>
    <w:rsid w:val="00FE5295"/>
    <w:rsid w:val="00FF45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7D41D6"/>
  <w14:defaultImageDpi w14:val="300"/>
  <w15:docId w15:val="{5125084F-AC71-440E-AF9B-826C38A3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2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20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A3367"/>
    <w:rPr>
      <w:sz w:val="24"/>
      <w:szCs w:val="24"/>
    </w:rPr>
  </w:style>
  <w:style w:type="table" w:styleId="TableGrid">
    <w:name w:val="Table Grid"/>
    <w:basedOn w:val="TableNormal"/>
    <w:uiPriority w:val="59"/>
    <w:rsid w:val="001A7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2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820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087198"/>
  </w:style>
  <w:style w:type="character" w:styleId="Strong">
    <w:name w:val="Strong"/>
    <w:uiPriority w:val="22"/>
    <w:qFormat/>
    <w:rsid w:val="000312A9"/>
    <w:rPr>
      <w:b/>
      <w:bCs/>
    </w:rPr>
  </w:style>
  <w:style w:type="paragraph" w:styleId="ListParagraph">
    <w:name w:val="List Paragraph"/>
    <w:basedOn w:val="Normal"/>
    <w:uiPriority w:val="34"/>
    <w:qFormat/>
    <w:rsid w:val="002A118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916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Rojas@pennmedicine.upen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rf.org/authorship-guideli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203CCF-0F6D-A14D-9D12-F3F73D7A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7999</CharactersWithSpaces>
  <SharedDoc>false</SharedDoc>
  <HLinks>
    <vt:vector size="12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mailto:afred@mail.med.upenn.edu</vt:lpwstr>
      </vt:variant>
      <vt:variant>
        <vt:lpwstr/>
      </vt:variant>
      <vt:variant>
        <vt:i4>524381</vt:i4>
      </vt:variant>
      <vt:variant>
        <vt:i4>-1</vt:i4>
      </vt:variant>
      <vt:variant>
        <vt:i4>2053</vt:i4>
      </vt:variant>
      <vt:variant>
        <vt:i4>1</vt:i4>
      </vt:variant>
      <vt:variant>
        <vt:lpwstr>image002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SOMIS</dc:creator>
  <cp:keywords/>
  <dc:description/>
  <cp:lastModifiedBy>Sherard Graham</cp:lastModifiedBy>
  <cp:revision>2</cp:revision>
  <cp:lastPrinted>2020-01-03T12:42:00Z</cp:lastPrinted>
  <dcterms:created xsi:type="dcterms:W3CDTF">2020-02-06T18:04:00Z</dcterms:created>
  <dcterms:modified xsi:type="dcterms:W3CDTF">2020-02-06T18:04:00Z</dcterms:modified>
</cp:coreProperties>
</file>