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07FF5" w14:textId="77777777" w:rsidR="002B7443" w:rsidRPr="002273B5" w:rsidRDefault="002B7443" w:rsidP="006E6FB5">
      <w:pPr>
        <w:pStyle w:val="Title"/>
        <w:rPr>
          <w:rFonts w:cs="Arial"/>
          <w:szCs w:val="22"/>
        </w:rPr>
      </w:pPr>
      <w:r w:rsidRPr="002273B5">
        <w:rPr>
          <w:rFonts w:cs="Arial"/>
          <w:szCs w:val="22"/>
        </w:rPr>
        <w:t>BIOGRAPHICAL SKETCH</w:t>
      </w:r>
    </w:p>
    <w:p w14:paraId="01C9B6C5" w14:textId="7EDF005C" w:rsidR="002B7443" w:rsidRPr="002273B5" w:rsidRDefault="002B7443" w:rsidP="00F7284D">
      <w:pPr>
        <w:pStyle w:val="HeadingNote"/>
        <w:rPr>
          <w:sz w:val="22"/>
          <w:szCs w:val="22"/>
        </w:rPr>
      </w:pPr>
      <w:r w:rsidRPr="002273B5">
        <w:rPr>
          <w:sz w:val="22"/>
          <w:szCs w:val="22"/>
        </w:rPr>
        <w:t>Provide the following information for the Senior/key personnel and other significant contributors.</w:t>
      </w:r>
      <w:r w:rsidRPr="002273B5">
        <w:rPr>
          <w:sz w:val="22"/>
          <w:szCs w:val="22"/>
        </w:rPr>
        <w:br w:type="textWrapping" w:clear="all"/>
        <w:t xml:space="preserve">Follow this format for each person.  </w:t>
      </w:r>
      <w:r w:rsidRPr="002273B5">
        <w:rPr>
          <w:b/>
          <w:sz w:val="22"/>
          <w:szCs w:val="22"/>
        </w:rPr>
        <w:t>DO NOT EXCEED FIVE PAGES.</w:t>
      </w:r>
    </w:p>
    <w:p w14:paraId="4F46CDBB" w14:textId="6B8F91CD" w:rsidR="002B7443" w:rsidRPr="002273B5" w:rsidRDefault="002B7443" w:rsidP="002B7443">
      <w:pPr>
        <w:pStyle w:val="FormFieldCaption1"/>
        <w:pBdr>
          <w:between w:val="single" w:sz="4" w:space="1" w:color="auto"/>
        </w:pBdr>
        <w:rPr>
          <w:sz w:val="22"/>
          <w:szCs w:val="22"/>
        </w:rPr>
      </w:pPr>
      <w:r w:rsidRPr="002273B5">
        <w:rPr>
          <w:sz w:val="22"/>
          <w:szCs w:val="22"/>
        </w:rPr>
        <w:t>NAME:</w:t>
      </w:r>
      <w:r w:rsidR="00E03323" w:rsidRPr="002273B5">
        <w:rPr>
          <w:sz w:val="22"/>
          <w:szCs w:val="22"/>
        </w:rPr>
        <w:t xml:space="preserve"> </w:t>
      </w:r>
      <w:r w:rsidR="00A208BC" w:rsidRPr="002273B5">
        <w:rPr>
          <w:b/>
          <w:sz w:val="22"/>
          <w:szCs w:val="22"/>
        </w:rPr>
        <w:t>ERNESTINA SCHIPANI</w:t>
      </w:r>
    </w:p>
    <w:p w14:paraId="7FFF41C1" w14:textId="01F79D12" w:rsidR="002B7443" w:rsidRPr="002273B5" w:rsidRDefault="00E047AD" w:rsidP="002B7443">
      <w:pPr>
        <w:pStyle w:val="FormFieldCaption1"/>
        <w:pBdr>
          <w:between w:val="single" w:sz="4" w:space="1" w:color="auto"/>
        </w:pBdr>
        <w:rPr>
          <w:sz w:val="22"/>
          <w:szCs w:val="22"/>
        </w:rPr>
      </w:pPr>
      <w:r w:rsidRPr="002273B5">
        <w:rPr>
          <w:sz w:val="22"/>
          <w:szCs w:val="22"/>
        </w:rPr>
        <w:t>eRA COMMONS USER NAME (credential, e.g., agency login)</w:t>
      </w:r>
      <w:r w:rsidR="002B7443" w:rsidRPr="002273B5">
        <w:rPr>
          <w:sz w:val="22"/>
          <w:szCs w:val="22"/>
        </w:rPr>
        <w:t>:</w:t>
      </w:r>
      <w:r w:rsidR="00E03323" w:rsidRPr="002273B5">
        <w:rPr>
          <w:sz w:val="22"/>
          <w:szCs w:val="22"/>
        </w:rPr>
        <w:t xml:space="preserve"> </w:t>
      </w:r>
      <w:r w:rsidR="00A208BC" w:rsidRPr="002273B5">
        <w:rPr>
          <w:b/>
          <w:sz w:val="22"/>
          <w:szCs w:val="22"/>
        </w:rPr>
        <w:t>schipani</w:t>
      </w:r>
    </w:p>
    <w:p w14:paraId="74873D9A" w14:textId="4BD9AF00" w:rsidR="002B7443" w:rsidRPr="002273B5" w:rsidRDefault="00E047AD" w:rsidP="002B7443">
      <w:pPr>
        <w:pStyle w:val="FormFieldCaption1"/>
        <w:pBdr>
          <w:between w:val="single" w:sz="4" w:space="1" w:color="auto"/>
        </w:pBdr>
        <w:rPr>
          <w:sz w:val="22"/>
          <w:szCs w:val="22"/>
        </w:rPr>
      </w:pPr>
      <w:r w:rsidRPr="002273B5">
        <w:rPr>
          <w:sz w:val="22"/>
          <w:szCs w:val="22"/>
        </w:rPr>
        <w:t>POSITION TITLE</w:t>
      </w:r>
      <w:r w:rsidR="002B7443" w:rsidRPr="002273B5">
        <w:rPr>
          <w:sz w:val="22"/>
          <w:szCs w:val="22"/>
        </w:rPr>
        <w:t>:</w:t>
      </w:r>
      <w:r w:rsidR="00A208BC" w:rsidRPr="002273B5">
        <w:rPr>
          <w:b/>
          <w:sz w:val="22"/>
          <w:szCs w:val="22"/>
        </w:rPr>
        <w:t xml:space="preserve"> PROFESSOR (with tenure)</w:t>
      </w:r>
    </w:p>
    <w:p w14:paraId="035344DF" w14:textId="571DC801" w:rsidR="002B7443" w:rsidRPr="002273B5" w:rsidRDefault="002B7443" w:rsidP="002B7443">
      <w:pPr>
        <w:pStyle w:val="FormFieldCaption1"/>
        <w:pBdr>
          <w:between w:val="single" w:sz="4" w:space="1" w:color="auto"/>
        </w:pBdr>
        <w:rPr>
          <w:sz w:val="22"/>
          <w:szCs w:val="22"/>
        </w:rPr>
      </w:pPr>
      <w:r w:rsidRPr="002273B5">
        <w:rPr>
          <w:sz w:val="22"/>
          <w:szCs w:val="22"/>
        </w:rPr>
        <w:t xml:space="preserve">EDUCATION/TRAINING </w:t>
      </w:r>
      <w:r w:rsidRPr="002273B5">
        <w:rPr>
          <w:rStyle w:val="Emphasis"/>
          <w:sz w:val="22"/>
          <w:szCs w:val="22"/>
        </w:rPr>
        <w:t>(Begin with baccalaureate or other initial professional education, such as nursing, include postdoctoral training and residency training if applicable.</w:t>
      </w:r>
      <w:r w:rsidR="00C1247F" w:rsidRPr="002273B5">
        <w:rPr>
          <w:rStyle w:val="Emphasis"/>
          <w:sz w:val="22"/>
          <w:szCs w:val="22"/>
        </w:rPr>
        <w:t xml:space="preserve"> Add/delete rows as necessary.</w:t>
      </w:r>
      <w:r w:rsidRPr="002273B5">
        <w:rPr>
          <w:rStyle w:val="Emphasis"/>
          <w:sz w:val="22"/>
          <w:szCs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2273B5"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2273B5" w:rsidRDefault="00933173" w:rsidP="000B5732">
            <w:pPr>
              <w:pStyle w:val="FormFieldCaption"/>
              <w:jc w:val="center"/>
              <w:rPr>
                <w:sz w:val="22"/>
                <w:szCs w:val="22"/>
              </w:rPr>
            </w:pPr>
            <w:r w:rsidRPr="002273B5">
              <w:rPr>
                <w:sz w:val="22"/>
                <w:szCs w:val="22"/>
              </w:rPr>
              <w:t>INSTITUTION AND LOCATION</w:t>
            </w:r>
          </w:p>
        </w:tc>
        <w:tc>
          <w:tcPr>
            <w:tcW w:w="1440" w:type="dxa"/>
            <w:tcBorders>
              <w:top w:val="single" w:sz="4" w:space="0" w:color="auto"/>
              <w:bottom w:val="single" w:sz="4" w:space="0" w:color="auto"/>
            </w:tcBorders>
            <w:vAlign w:val="center"/>
          </w:tcPr>
          <w:p w14:paraId="0A8E3E0E" w14:textId="77777777" w:rsidR="00933173" w:rsidRPr="002273B5" w:rsidRDefault="00933173" w:rsidP="000B5732">
            <w:pPr>
              <w:pStyle w:val="FormFieldCaption"/>
              <w:jc w:val="center"/>
              <w:rPr>
                <w:sz w:val="22"/>
                <w:szCs w:val="22"/>
              </w:rPr>
            </w:pPr>
            <w:r w:rsidRPr="002273B5">
              <w:rPr>
                <w:sz w:val="22"/>
                <w:szCs w:val="22"/>
              </w:rPr>
              <w:t>DEGREE</w:t>
            </w:r>
          </w:p>
          <w:p w14:paraId="0DEF5BC8" w14:textId="77777777" w:rsidR="00933173" w:rsidRPr="002273B5" w:rsidRDefault="00933173" w:rsidP="000B5732">
            <w:pPr>
              <w:pStyle w:val="FormFieldCaption"/>
              <w:jc w:val="center"/>
              <w:rPr>
                <w:rStyle w:val="Emphasis"/>
                <w:sz w:val="22"/>
                <w:szCs w:val="22"/>
              </w:rPr>
            </w:pPr>
            <w:r w:rsidRPr="002273B5">
              <w:rPr>
                <w:rStyle w:val="Emphasis"/>
                <w:sz w:val="22"/>
                <w:szCs w:val="22"/>
              </w:rPr>
              <w:t>(if applicable)</w:t>
            </w:r>
          </w:p>
          <w:p w14:paraId="32A0C014" w14:textId="77777777" w:rsidR="00933173" w:rsidRPr="002273B5" w:rsidRDefault="00933173" w:rsidP="000B5732">
            <w:pPr>
              <w:pStyle w:val="FormFieldCaption"/>
              <w:rPr>
                <w:sz w:val="22"/>
                <w:szCs w:val="22"/>
              </w:rPr>
            </w:pPr>
          </w:p>
        </w:tc>
        <w:tc>
          <w:tcPr>
            <w:tcW w:w="1584" w:type="dxa"/>
            <w:tcBorders>
              <w:top w:val="single" w:sz="4" w:space="0" w:color="auto"/>
              <w:bottom w:val="single" w:sz="4" w:space="0" w:color="auto"/>
            </w:tcBorders>
            <w:vAlign w:val="center"/>
          </w:tcPr>
          <w:p w14:paraId="4ED3B33F" w14:textId="77777777" w:rsidR="00C1247F" w:rsidRPr="002273B5" w:rsidRDefault="00C1247F" w:rsidP="000B5732">
            <w:pPr>
              <w:pStyle w:val="FormFieldCaption"/>
              <w:jc w:val="center"/>
              <w:rPr>
                <w:sz w:val="22"/>
                <w:szCs w:val="22"/>
              </w:rPr>
            </w:pPr>
            <w:r w:rsidRPr="002273B5">
              <w:rPr>
                <w:sz w:val="22"/>
                <w:szCs w:val="22"/>
              </w:rPr>
              <w:t>Completion Date</w:t>
            </w:r>
          </w:p>
          <w:p w14:paraId="76B4E15A" w14:textId="09B57E40" w:rsidR="00933173" w:rsidRPr="002273B5" w:rsidRDefault="00933173" w:rsidP="000B5732">
            <w:pPr>
              <w:pStyle w:val="FormFieldCaption"/>
              <w:jc w:val="center"/>
              <w:rPr>
                <w:sz w:val="22"/>
                <w:szCs w:val="22"/>
              </w:rPr>
            </w:pPr>
            <w:r w:rsidRPr="002273B5">
              <w:rPr>
                <w:sz w:val="22"/>
                <w:szCs w:val="22"/>
              </w:rPr>
              <w:t>MM/YYYY</w:t>
            </w:r>
          </w:p>
          <w:p w14:paraId="143620A6" w14:textId="77777777" w:rsidR="00933173" w:rsidRPr="002273B5" w:rsidRDefault="00933173" w:rsidP="000B5732">
            <w:pPr>
              <w:pStyle w:val="FormFieldCaption"/>
              <w:rPr>
                <w:sz w:val="22"/>
                <w:szCs w:val="22"/>
              </w:rPr>
            </w:pPr>
          </w:p>
        </w:tc>
        <w:tc>
          <w:tcPr>
            <w:tcW w:w="2592" w:type="dxa"/>
            <w:tcBorders>
              <w:top w:val="single" w:sz="4" w:space="0" w:color="auto"/>
              <w:bottom w:val="single" w:sz="4" w:space="0" w:color="auto"/>
            </w:tcBorders>
            <w:vAlign w:val="center"/>
          </w:tcPr>
          <w:p w14:paraId="7E87FA43" w14:textId="77777777" w:rsidR="00933173" w:rsidRPr="002273B5" w:rsidRDefault="00933173" w:rsidP="000B5732">
            <w:pPr>
              <w:pStyle w:val="FormFieldCaption"/>
              <w:jc w:val="center"/>
              <w:rPr>
                <w:sz w:val="22"/>
                <w:szCs w:val="22"/>
              </w:rPr>
            </w:pPr>
            <w:r w:rsidRPr="002273B5">
              <w:rPr>
                <w:sz w:val="22"/>
                <w:szCs w:val="22"/>
              </w:rPr>
              <w:t>FIELD OF STUDY</w:t>
            </w:r>
          </w:p>
          <w:p w14:paraId="4198E5FC" w14:textId="77777777" w:rsidR="00933173" w:rsidRPr="002273B5" w:rsidRDefault="00933173" w:rsidP="000B5732">
            <w:pPr>
              <w:pStyle w:val="FormFieldCaption"/>
              <w:rPr>
                <w:sz w:val="22"/>
                <w:szCs w:val="22"/>
              </w:rPr>
            </w:pPr>
          </w:p>
        </w:tc>
      </w:tr>
      <w:tr w:rsidR="00A208BC" w:rsidRPr="002273B5" w14:paraId="5CD50646" w14:textId="77777777" w:rsidTr="005F0B12">
        <w:trPr>
          <w:cantSplit/>
          <w:trHeight w:val="395"/>
        </w:trPr>
        <w:tc>
          <w:tcPr>
            <w:tcW w:w="5220" w:type="dxa"/>
            <w:tcBorders>
              <w:top w:val="single" w:sz="4" w:space="0" w:color="auto"/>
            </w:tcBorders>
          </w:tcPr>
          <w:p w14:paraId="3B0C531B" w14:textId="00FC9C5A" w:rsidR="00A208BC" w:rsidRPr="002273B5" w:rsidRDefault="00A208BC" w:rsidP="00A208BC">
            <w:pPr>
              <w:pStyle w:val="FormFieldCaption"/>
              <w:spacing w:before="20" w:after="20"/>
              <w:rPr>
                <w:sz w:val="22"/>
                <w:szCs w:val="22"/>
              </w:rPr>
            </w:pPr>
            <w:r w:rsidRPr="002273B5">
              <w:rPr>
                <w:sz w:val="22"/>
                <w:szCs w:val="22"/>
              </w:rPr>
              <w:t>Medical School of Pisa, Pisa, Italy</w:t>
            </w:r>
          </w:p>
        </w:tc>
        <w:tc>
          <w:tcPr>
            <w:tcW w:w="1440" w:type="dxa"/>
            <w:tcBorders>
              <w:top w:val="single" w:sz="4" w:space="0" w:color="auto"/>
            </w:tcBorders>
          </w:tcPr>
          <w:p w14:paraId="62DD05C1" w14:textId="7606D367" w:rsidR="00A208BC" w:rsidRPr="002273B5" w:rsidRDefault="00A208BC" w:rsidP="00A208BC">
            <w:pPr>
              <w:pStyle w:val="FormFieldCaption"/>
              <w:spacing w:before="20" w:after="20"/>
              <w:jc w:val="center"/>
              <w:rPr>
                <w:sz w:val="22"/>
                <w:szCs w:val="22"/>
              </w:rPr>
            </w:pPr>
            <w:r w:rsidRPr="002273B5">
              <w:rPr>
                <w:sz w:val="22"/>
                <w:szCs w:val="22"/>
              </w:rPr>
              <w:t>M.D.</w:t>
            </w:r>
          </w:p>
        </w:tc>
        <w:tc>
          <w:tcPr>
            <w:tcW w:w="1584" w:type="dxa"/>
            <w:tcBorders>
              <w:top w:val="single" w:sz="4" w:space="0" w:color="auto"/>
            </w:tcBorders>
          </w:tcPr>
          <w:p w14:paraId="543299E0" w14:textId="7EE904C9" w:rsidR="00A208BC" w:rsidRPr="002273B5" w:rsidRDefault="00A208BC" w:rsidP="00A208BC">
            <w:pPr>
              <w:pStyle w:val="FormFieldCaption"/>
              <w:spacing w:before="20" w:after="20"/>
              <w:jc w:val="center"/>
              <w:rPr>
                <w:sz w:val="22"/>
                <w:szCs w:val="22"/>
              </w:rPr>
            </w:pPr>
            <w:r w:rsidRPr="002273B5">
              <w:rPr>
                <w:sz w:val="22"/>
                <w:szCs w:val="22"/>
              </w:rPr>
              <w:t>10/1985</w:t>
            </w:r>
          </w:p>
        </w:tc>
        <w:tc>
          <w:tcPr>
            <w:tcW w:w="2592" w:type="dxa"/>
            <w:tcBorders>
              <w:top w:val="single" w:sz="4" w:space="0" w:color="auto"/>
            </w:tcBorders>
          </w:tcPr>
          <w:p w14:paraId="7BC5582F" w14:textId="462E33E7" w:rsidR="00A208BC" w:rsidRPr="002273B5" w:rsidRDefault="00A208BC" w:rsidP="00A208BC">
            <w:pPr>
              <w:pStyle w:val="FormFieldCaption"/>
              <w:spacing w:before="20" w:after="20"/>
              <w:rPr>
                <w:sz w:val="22"/>
                <w:szCs w:val="22"/>
              </w:rPr>
            </w:pPr>
          </w:p>
        </w:tc>
      </w:tr>
      <w:tr w:rsidR="00A208BC" w:rsidRPr="002273B5" w14:paraId="1515F345" w14:textId="77777777" w:rsidTr="005F0B12">
        <w:trPr>
          <w:cantSplit/>
          <w:trHeight w:val="395"/>
        </w:trPr>
        <w:tc>
          <w:tcPr>
            <w:tcW w:w="5220" w:type="dxa"/>
          </w:tcPr>
          <w:p w14:paraId="7DED23E7" w14:textId="4C698DD4" w:rsidR="00A208BC" w:rsidRPr="002273B5" w:rsidRDefault="00A208BC" w:rsidP="00A208BC">
            <w:pPr>
              <w:pStyle w:val="FormFieldCaption"/>
              <w:spacing w:before="20" w:after="20"/>
              <w:rPr>
                <w:sz w:val="22"/>
                <w:szCs w:val="22"/>
              </w:rPr>
            </w:pPr>
            <w:r w:rsidRPr="002273B5">
              <w:rPr>
                <w:sz w:val="22"/>
                <w:szCs w:val="22"/>
              </w:rPr>
              <w:t>Medical School of Pisa, Pisa, Italy</w:t>
            </w:r>
          </w:p>
        </w:tc>
        <w:tc>
          <w:tcPr>
            <w:tcW w:w="1440" w:type="dxa"/>
          </w:tcPr>
          <w:p w14:paraId="0D874BFC" w14:textId="0872CCC5" w:rsidR="00A208BC" w:rsidRPr="002273B5" w:rsidRDefault="00A208BC" w:rsidP="00A208BC">
            <w:pPr>
              <w:pStyle w:val="FormFieldCaption"/>
              <w:spacing w:before="20" w:after="20"/>
              <w:jc w:val="center"/>
              <w:rPr>
                <w:sz w:val="22"/>
                <w:szCs w:val="22"/>
              </w:rPr>
            </w:pPr>
            <w:r w:rsidRPr="002273B5">
              <w:rPr>
                <w:sz w:val="22"/>
                <w:szCs w:val="22"/>
              </w:rPr>
              <w:t>Ph.D.</w:t>
            </w:r>
          </w:p>
        </w:tc>
        <w:tc>
          <w:tcPr>
            <w:tcW w:w="1584" w:type="dxa"/>
          </w:tcPr>
          <w:p w14:paraId="1A7AA7CA" w14:textId="3726515F" w:rsidR="00A208BC" w:rsidRPr="002273B5" w:rsidRDefault="00A208BC" w:rsidP="00A208BC">
            <w:pPr>
              <w:pStyle w:val="FormFieldCaption"/>
              <w:spacing w:before="20" w:after="20"/>
              <w:jc w:val="center"/>
              <w:rPr>
                <w:sz w:val="22"/>
                <w:szCs w:val="22"/>
              </w:rPr>
            </w:pPr>
            <w:r w:rsidRPr="002273B5">
              <w:rPr>
                <w:sz w:val="22"/>
                <w:szCs w:val="22"/>
              </w:rPr>
              <w:t>06/1989</w:t>
            </w:r>
          </w:p>
        </w:tc>
        <w:tc>
          <w:tcPr>
            <w:tcW w:w="2592" w:type="dxa"/>
          </w:tcPr>
          <w:p w14:paraId="4CC74E5C" w14:textId="540C7F01" w:rsidR="00A208BC" w:rsidRPr="002273B5" w:rsidRDefault="00A208BC" w:rsidP="00A208BC">
            <w:pPr>
              <w:pStyle w:val="FormFieldCaption"/>
              <w:spacing w:before="20" w:after="20"/>
              <w:rPr>
                <w:sz w:val="22"/>
                <w:szCs w:val="22"/>
              </w:rPr>
            </w:pPr>
            <w:r w:rsidRPr="002273B5">
              <w:rPr>
                <w:sz w:val="22"/>
                <w:szCs w:val="22"/>
              </w:rPr>
              <w:t>Endocrinology</w:t>
            </w:r>
          </w:p>
        </w:tc>
      </w:tr>
      <w:tr w:rsidR="00A208BC" w:rsidRPr="002273B5" w14:paraId="51E27C1C" w14:textId="77777777" w:rsidTr="005F0B12">
        <w:trPr>
          <w:cantSplit/>
          <w:trHeight w:val="395"/>
        </w:trPr>
        <w:tc>
          <w:tcPr>
            <w:tcW w:w="5220" w:type="dxa"/>
          </w:tcPr>
          <w:p w14:paraId="66BC8FF0" w14:textId="7E712CDD" w:rsidR="00A208BC" w:rsidRPr="002273B5" w:rsidRDefault="00A208BC" w:rsidP="00A208BC">
            <w:pPr>
              <w:pStyle w:val="FormFieldCaption"/>
              <w:spacing w:before="20" w:after="20"/>
              <w:rPr>
                <w:sz w:val="22"/>
                <w:szCs w:val="22"/>
              </w:rPr>
            </w:pPr>
            <w:r w:rsidRPr="002273B5">
              <w:rPr>
                <w:sz w:val="22"/>
                <w:szCs w:val="22"/>
              </w:rPr>
              <w:t>MGH-Harvard Medical School</w:t>
            </w:r>
          </w:p>
        </w:tc>
        <w:tc>
          <w:tcPr>
            <w:tcW w:w="1440" w:type="dxa"/>
          </w:tcPr>
          <w:p w14:paraId="56D322E1" w14:textId="77777777" w:rsidR="00A208BC" w:rsidRPr="002273B5" w:rsidRDefault="00A208BC" w:rsidP="00A208BC">
            <w:pPr>
              <w:pStyle w:val="FormFieldCaption"/>
              <w:spacing w:before="20" w:after="20"/>
              <w:jc w:val="both"/>
              <w:rPr>
                <w:sz w:val="22"/>
                <w:szCs w:val="22"/>
              </w:rPr>
            </w:pPr>
            <w:r w:rsidRPr="002273B5">
              <w:rPr>
                <w:sz w:val="22"/>
                <w:szCs w:val="22"/>
              </w:rPr>
              <w:t xml:space="preserve">Research </w:t>
            </w:r>
          </w:p>
          <w:p w14:paraId="6AEADABA" w14:textId="7CEDF0AB" w:rsidR="00A208BC" w:rsidRPr="002273B5" w:rsidRDefault="00A208BC" w:rsidP="00A208BC">
            <w:pPr>
              <w:pStyle w:val="FormFieldCaption"/>
              <w:spacing w:before="20" w:after="20"/>
              <w:rPr>
                <w:sz w:val="22"/>
                <w:szCs w:val="22"/>
              </w:rPr>
            </w:pPr>
            <w:r w:rsidRPr="002273B5">
              <w:rPr>
                <w:sz w:val="22"/>
                <w:szCs w:val="22"/>
              </w:rPr>
              <w:t>Fellowship</w:t>
            </w:r>
          </w:p>
        </w:tc>
        <w:tc>
          <w:tcPr>
            <w:tcW w:w="1584" w:type="dxa"/>
          </w:tcPr>
          <w:p w14:paraId="4ED60B07" w14:textId="4F36D5A5" w:rsidR="00A208BC" w:rsidRPr="002273B5" w:rsidRDefault="00A208BC" w:rsidP="00A208BC">
            <w:pPr>
              <w:pStyle w:val="FormFieldCaption"/>
              <w:spacing w:before="20" w:after="20"/>
              <w:jc w:val="center"/>
              <w:rPr>
                <w:sz w:val="22"/>
                <w:szCs w:val="22"/>
              </w:rPr>
            </w:pPr>
            <w:r w:rsidRPr="002273B5">
              <w:rPr>
                <w:sz w:val="22"/>
                <w:szCs w:val="22"/>
              </w:rPr>
              <w:t>11/1993</w:t>
            </w:r>
          </w:p>
        </w:tc>
        <w:tc>
          <w:tcPr>
            <w:tcW w:w="2592" w:type="dxa"/>
          </w:tcPr>
          <w:p w14:paraId="2303550C" w14:textId="05AEE8CC" w:rsidR="00A208BC" w:rsidRPr="002273B5" w:rsidRDefault="00A208BC" w:rsidP="00A208BC">
            <w:pPr>
              <w:pStyle w:val="FormFieldCaption"/>
              <w:spacing w:before="20" w:after="20"/>
              <w:rPr>
                <w:sz w:val="22"/>
                <w:szCs w:val="22"/>
              </w:rPr>
            </w:pPr>
            <w:r w:rsidRPr="002273B5">
              <w:rPr>
                <w:sz w:val="22"/>
                <w:szCs w:val="22"/>
              </w:rPr>
              <w:t>Endocrinology</w:t>
            </w:r>
          </w:p>
        </w:tc>
      </w:tr>
      <w:tr w:rsidR="00A208BC" w:rsidRPr="002273B5" w14:paraId="09D52645" w14:textId="77777777" w:rsidTr="005F0B12">
        <w:trPr>
          <w:cantSplit/>
          <w:trHeight w:val="395"/>
        </w:trPr>
        <w:tc>
          <w:tcPr>
            <w:tcW w:w="5220" w:type="dxa"/>
          </w:tcPr>
          <w:p w14:paraId="76A4F390" w14:textId="77777777" w:rsidR="00A208BC" w:rsidRPr="002273B5" w:rsidRDefault="00A208BC" w:rsidP="00A208BC">
            <w:pPr>
              <w:pStyle w:val="FormFieldCaption"/>
              <w:spacing w:before="20" w:after="20"/>
              <w:rPr>
                <w:sz w:val="22"/>
                <w:szCs w:val="22"/>
              </w:rPr>
            </w:pPr>
          </w:p>
        </w:tc>
        <w:tc>
          <w:tcPr>
            <w:tcW w:w="1440" w:type="dxa"/>
          </w:tcPr>
          <w:p w14:paraId="3120D72C" w14:textId="77777777" w:rsidR="00A208BC" w:rsidRPr="002273B5" w:rsidRDefault="00A208BC" w:rsidP="00A208BC">
            <w:pPr>
              <w:pStyle w:val="FormFieldCaption"/>
              <w:spacing w:before="20" w:after="20"/>
              <w:jc w:val="center"/>
              <w:rPr>
                <w:sz w:val="22"/>
                <w:szCs w:val="22"/>
              </w:rPr>
            </w:pPr>
          </w:p>
        </w:tc>
        <w:tc>
          <w:tcPr>
            <w:tcW w:w="1584" w:type="dxa"/>
          </w:tcPr>
          <w:p w14:paraId="53EB7033" w14:textId="77777777" w:rsidR="00A208BC" w:rsidRPr="002273B5" w:rsidRDefault="00A208BC" w:rsidP="00A208BC">
            <w:pPr>
              <w:pStyle w:val="FormFieldCaption"/>
              <w:spacing w:before="20" w:after="20"/>
              <w:jc w:val="center"/>
              <w:rPr>
                <w:sz w:val="22"/>
                <w:szCs w:val="22"/>
              </w:rPr>
            </w:pPr>
          </w:p>
        </w:tc>
        <w:tc>
          <w:tcPr>
            <w:tcW w:w="2592" w:type="dxa"/>
          </w:tcPr>
          <w:p w14:paraId="4418E34F" w14:textId="77777777" w:rsidR="00A208BC" w:rsidRPr="002273B5" w:rsidRDefault="00A208BC" w:rsidP="00A208BC">
            <w:pPr>
              <w:pStyle w:val="FormFieldCaption"/>
              <w:spacing w:before="20" w:after="20"/>
              <w:rPr>
                <w:sz w:val="22"/>
                <w:szCs w:val="22"/>
              </w:rPr>
            </w:pPr>
          </w:p>
        </w:tc>
      </w:tr>
      <w:tr w:rsidR="00A208BC" w:rsidRPr="002273B5" w14:paraId="767906B9" w14:textId="77777777" w:rsidTr="005F0B12">
        <w:trPr>
          <w:cantSplit/>
          <w:trHeight w:val="395"/>
        </w:trPr>
        <w:tc>
          <w:tcPr>
            <w:tcW w:w="5220" w:type="dxa"/>
          </w:tcPr>
          <w:p w14:paraId="4D43CFA6" w14:textId="2FFF44CD" w:rsidR="00A208BC" w:rsidRPr="002273B5" w:rsidRDefault="00A208BC" w:rsidP="00A208BC">
            <w:pPr>
              <w:pStyle w:val="FormFieldCaption"/>
              <w:spacing w:before="20" w:after="20"/>
              <w:rPr>
                <w:sz w:val="22"/>
                <w:szCs w:val="22"/>
              </w:rPr>
            </w:pPr>
          </w:p>
        </w:tc>
        <w:tc>
          <w:tcPr>
            <w:tcW w:w="1440" w:type="dxa"/>
          </w:tcPr>
          <w:p w14:paraId="3D81FEFA" w14:textId="77777777" w:rsidR="00A208BC" w:rsidRPr="002273B5" w:rsidRDefault="00A208BC" w:rsidP="00A208BC">
            <w:pPr>
              <w:pStyle w:val="FormFieldCaption"/>
              <w:spacing w:before="20" w:after="20"/>
              <w:jc w:val="center"/>
              <w:rPr>
                <w:sz w:val="22"/>
                <w:szCs w:val="22"/>
              </w:rPr>
            </w:pPr>
          </w:p>
        </w:tc>
        <w:tc>
          <w:tcPr>
            <w:tcW w:w="1584" w:type="dxa"/>
          </w:tcPr>
          <w:p w14:paraId="3F1F9756" w14:textId="77777777" w:rsidR="00A208BC" w:rsidRPr="002273B5" w:rsidRDefault="00A208BC" w:rsidP="00A208BC">
            <w:pPr>
              <w:pStyle w:val="FormFieldCaption"/>
              <w:spacing w:before="20" w:after="20"/>
              <w:jc w:val="center"/>
              <w:rPr>
                <w:sz w:val="22"/>
                <w:szCs w:val="22"/>
              </w:rPr>
            </w:pPr>
          </w:p>
        </w:tc>
        <w:tc>
          <w:tcPr>
            <w:tcW w:w="2592" w:type="dxa"/>
          </w:tcPr>
          <w:p w14:paraId="4D6D5595" w14:textId="685C1785" w:rsidR="00A208BC" w:rsidRPr="002273B5" w:rsidRDefault="00A208BC" w:rsidP="00A208BC">
            <w:pPr>
              <w:pStyle w:val="FormFieldCaption"/>
              <w:spacing w:before="20" w:after="20"/>
              <w:rPr>
                <w:sz w:val="22"/>
                <w:szCs w:val="22"/>
              </w:rPr>
            </w:pPr>
          </w:p>
        </w:tc>
      </w:tr>
    </w:tbl>
    <w:p w14:paraId="6FC868BE" w14:textId="735E875D" w:rsidR="009E52CA" w:rsidRPr="002273B5" w:rsidRDefault="009E52CA">
      <w:pPr>
        <w:pStyle w:val="DataField11pt-Single"/>
        <w:rPr>
          <w:szCs w:val="22"/>
        </w:rPr>
      </w:pPr>
    </w:p>
    <w:p w14:paraId="1695BFF0" w14:textId="77777777" w:rsidR="002C51BC" w:rsidRPr="002273B5" w:rsidRDefault="002C51BC" w:rsidP="00FC5F9E">
      <w:pPr>
        <w:rPr>
          <w:rFonts w:cs="Arial"/>
          <w:szCs w:val="22"/>
        </w:rPr>
      </w:pPr>
    </w:p>
    <w:p w14:paraId="3713D68E" w14:textId="63219AAE" w:rsidR="00A208BC" w:rsidRPr="002273B5" w:rsidRDefault="002C51BC" w:rsidP="002C51BC">
      <w:pPr>
        <w:pStyle w:val="DataField11pt-Single"/>
        <w:rPr>
          <w:rStyle w:val="Strong"/>
          <w:szCs w:val="22"/>
        </w:rPr>
      </w:pPr>
      <w:r w:rsidRPr="002273B5">
        <w:rPr>
          <w:rStyle w:val="Strong"/>
          <w:szCs w:val="22"/>
        </w:rPr>
        <w:t>A.</w:t>
      </w:r>
      <w:r w:rsidRPr="002273B5">
        <w:rPr>
          <w:rStyle w:val="Strong"/>
          <w:szCs w:val="22"/>
        </w:rPr>
        <w:tab/>
        <w:t>Personal Statement</w:t>
      </w:r>
    </w:p>
    <w:p w14:paraId="6698C529" w14:textId="77777777" w:rsidR="009D084D" w:rsidRDefault="009D084D" w:rsidP="009D084D">
      <w:pPr>
        <w:pStyle w:val="DataField11pt-Single"/>
        <w:tabs>
          <w:tab w:val="left" w:pos="9990"/>
        </w:tabs>
        <w:jc w:val="both"/>
        <w:rPr>
          <w:szCs w:val="22"/>
        </w:rPr>
      </w:pPr>
      <w:r w:rsidRPr="009D084D">
        <w:rPr>
          <w:szCs w:val="22"/>
        </w:rPr>
        <w:t>My laboratory focuses on skeletal development, leveraging insights from developmental biology to better understand skeletal diseases and identify potential new treatments.</w:t>
      </w:r>
    </w:p>
    <w:p w14:paraId="430B9D63" w14:textId="77777777" w:rsidR="00883C71" w:rsidRPr="009D084D" w:rsidRDefault="00883C71" w:rsidP="009D084D">
      <w:pPr>
        <w:pStyle w:val="DataField11pt-Single"/>
        <w:tabs>
          <w:tab w:val="left" w:pos="9990"/>
        </w:tabs>
        <w:jc w:val="both"/>
        <w:rPr>
          <w:szCs w:val="22"/>
        </w:rPr>
      </w:pPr>
    </w:p>
    <w:p w14:paraId="0DD091C3" w14:textId="77777777" w:rsidR="009D084D" w:rsidRDefault="009D084D" w:rsidP="009D084D">
      <w:pPr>
        <w:pStyle w:val="DataField11pt-Single"/>
        <w:tabs>
          <w:tab w:val="left" w:pos="9990"/>
        </w:tabs>
        <w:jc w:val="both"/>
        <w:rPr>
          <w:szCs w:val="22"/>
        </w:rPr>
      </w:pPr>
      <w:r w:rsidRPr="009D084D">
        <w:rPr>
          <w:szCs w:val="22"/>
        </w:rPr>
        <w:t>Early in my career, I cloned the human PTH/PTHrP receptor and its gene, uncovering that gain-of-function mutations in this receptor are responsible for Jansen Metaphyseal Chondrodysplasia—a severe form of short-limbed dwarfism associated with hypercalcemia. Using mouse models carrying these mutations, I contributed to defining the PTH/PTHrP receptor's critical role in skeletal biology.</w:t>
      </w:r>
    </w:p>
    <w:p w14:paraId="684D1EC0" w14:textId="77777777" w:rsidR="00883C71" w:rsidRPr="009D084D" w:rsidRDefault="00883C71" w:rsidP="009D084D">
      <w:pPr>
        <w:pStyle w:val="DataField11pt-Single"/>
        <w:tabs>
          <w:tab w:val="left" w:pos="9990"/>
        </w:tabs>
        <w:jc w:val="both"/>
        <w:rPr>
          <w:szCs w:val="22"/>
        </w:rPr>
      </w:pPr>
    </w:p>
    <w:p w14:paraId="15748D7B" w14:textId="77777777" w:rsidR="009D084D" w:rsidRPr="009D084D" w:rsidRDefault="009D084D" w:rsidP="009D084D">
      <w:pPr>
        <w:pStyle w:val="DataField11pt-Single"/>
        <w:tabs>
          <w:tab w:val="left" w:pos="9990"/>
        </w:tabs>
        <w:jc w:val="both"/>
        <w:rPr>
          <w:szCs w:val="22"/>
        </w:rPr>
      </w:pPr>
      <w:r w:rsidRPr="009D084D">
        <w:rPr>
          <w:szCs w:val="22"/>
        </w:rPr>
        <w:t>Subsequently, I pioneered the concept that oxygen gradients regulate tissue morphogenesis during skeletal development. Beyond serving as a key metabolic substrate in enzymatic reactions such as mitochondrial respiration, oxygen also functions as a regulatory signal. My laboratory investigates how hypoxia and hypoxia-driven pathways influence skeletal development, aiming to uncover novel mechanisms of cellular adaptation to low oxygen levels and identify therapeutic targets for cartilage and bone diseases.</w:t>
      </w:r>
    </w:p>
    <w:p w14:paraId="33645E88" w14:textId="77777777" w:rsidR="009D084D" w:rsidRDefault="009D084D" w:rsidP="009D084D">
      <w:pPr>
        <w:pStyle w:val="DataField11pt-Single"/>
        <w:tabs>
          <w:tab w:val="left" w:pos="9990"/>
        </w:tabs>
        <w:jc w:val="both"/>
        <w:rPr>
          <w:szCs w:val="22"/>
        </w:rPr>
      </w:pPr>
      <w:r w:rsidRPr="009D084D">
        <w:rPr>
          <w:szCs w:val="22"/>
        </w:rPr>
        <w:t>To achieve these goals, we employ genetically modified mouse models and a wide array of in vivo, ex vivo, and in vitro approaches to analyze phenotypes and elucidate the underlying biology.</w:t>
      </w:r>
    </w:p>
    <w:p w14:paraId="4F1AAA91" w14:textId="77777777" w:rsidR="006B0CEB" w:rsidRDefault="006B0CEB" w:rsidP="009D084D">
      <w:pPr>
        <w:pStyle w:val="DataField11pt-Single"/>
        <w:tabs>
          <w:tab w:val="left" w:pos="9990"/>
        </w:tabs>
        <w:jc w:val="both"/>
        <w:rPr>
          <w:szCs w:val="22"/>
        </w:rPr>
      </w:pPr>
    </w:p>
    <w:p w14:paraId="3C8ACDE5" w14:textId="14E411DB" w:rsidR="007D434C" w:rsidRPr="007D434C" w:rsidRDefault="007D434C" w:rsidP="007D434C">
      <w:pPr>
        <w:pStyle w:val="DataField11pt-Single"/>
        <w:tabs>
          <w:tab w:val="left" w:pos="9990"/>
        </w:tabs>
        <w:jc w:val="both"/>
        <w:rPr>
          <w:szCs w:val="22"/>
        </w:rPr>
      </w:pPr>
      <w:r w:rsidRPr="007D434C">
        <w:rPr>
          <w:szCs w:val="22"/>
        </w:rPr>
        <w:t>Membership in the Penn Center for Musculoskeletal Diseases greatly strengthen</w:t>
      </w:r>
      <w:r w:rsidR="008944DB">
        <w:rPr>
          <w:szCs w:val="22"/>
        </w:rPr>
        <w:t>s</w:t>
      </w:r>
      <w:r w:rsidRPr="007D434C">
        <w:rPr>
          <w:szCs w:val="22"/>
        </w:rPr>
        <w:t xml:space="preserve"> my research program and increase its productivity by providing access to high-quality histology, microCT, and biomechanical analyses.</w:t>
      </w:r>
    </w:p>
    <w:p w14:paraId="012BB578" w14:textId="77777777" w:rsidR="007D434C" w:rsidRPr="007D434C" w:rsidRDefault="007D434C" w:rsidP="007D434C">
      <w:pPr>
        <w:pStyle w:val="DataField11pt-Single"/>
        <w:tabs>
          <w:tab w:val="left" w:pos="9990"/>
        </w:tabs>
        <w:jc w:val="both"/>
        <w:rPr>
          <w:szCs w:val="22"/>
        </w:rPr>
      </w:pPr>
    </w:p>
    <w:p w14:paraId="1A7FA707" w14:textId="33834F8F" w:rsidR="009D084D" w:rsidRDefault="006A37D5" w:rsidP="007F5378">
      <w:pPr>
        <w:pStyle w:val="DataField11pt-Single"/>
        <w:tabs>
          <w:tab w:val="left" w:pos="9990"/>
        </w:tabs>
        <w:jc w:val="both"/>
        <w:rPr>
          <w:b/>
          <w:bCs/>
          <w:szCs w:val="22"/>
          <w:u w:val="single"/>
        </w:rPr>
      </w:pPr>
      <w:r w:rsidRPr="002273B5">
        <w:rPr>
          <w:b/>
          <w:bCs/>
          <w:szCs w:val="22"/>
          <w:u w:val="single"/>
        </w:rPr>
        <w:t>Active NIH award</w:t>
      </w:r>
      <w:r w:rsidR="000A6DF1">
        <w:rPr>
          <w:b/>
          <w:bCs/>
          <w:szCs w:val="22"/>
          <w:u w:val="single"/>
        </w:rPr>
        <w:t>s</w:t>
      </w:r>
      <w:r w:rsidR="007F5378">
        <w:rPr>
          <w:b/>
          <w:bCs/>
          <w:szCs w:val="22"/>
          <w:u w:val="single"/>
        </w:rPr>
        <w:t xml:space="preserve"> </w:t>
      </w:r>
      <w:r w:rsidR="00D76511" w:rsidRPr="002273B5">
        <w:rPr>
          <w:b/>
          <w:bCs/>
          <w:szCs w:val="22"/>
          <w:u w:val="single"/>
        </w:rPr>
        <w:t>relevant to this application</w:t>
      </w:r>
    </w:p>
    <w:p w14:paraId="628EFDCD" w14:textId="77777777" w:rsidR="000A6DF1" w:rsidRPr="007F5378" w:rsidRDefault="000A6DF1" w:rsidP="007F5378">
      <w:pPr>
        <w:pStyle w:val="DataField11pt-Single"/>
        <w:tabs>
          <w:tab w:val="left" w:pos="9990"/>
        </w:tabs>
        <w:jc w:val="both"/>
        <w:rPr>
          <w:b/>
          <w:bCs/>
          <w:szCs w:val="22"/>
          <w:u w:val="single"/>
        </w:rPr>
      </w:pPr>
    </w:p>
    <w:p w14:paraId="09F109B8" w14:textId="41F6C947" w:rsidR="007F5378" w:rsidRPr="007F5378" w:rsidRDefault="009D084D" w:rsidP="007F5378">
      <w:pPr>
        <w:spacing w:line="240" w:lineRule="exact"/>
        <w:jc w:val="both"/>
        <w:rPr>
          <w:rFonts w:cs="Arial"/>
          <w:szCs w:val="22"/>
        </w:rPr>
      </w:pPr>
      <w:r>
        <w:rPr>
          <w:rFonts w:cs="Arial"/>
          <w:b/>
          <w:bCs/>
          <w:szCs w:val="22"/>
        </w:rPr>
        <w:t>1.</w:t>
      </w:r>
      <w:r w:rsidR="007F5378" w:rsidRPr="007F5378">
        <w:rPr>
          <w:rFonts w:cs="Arial"/>
          <w:b/>
          <w:bCs/>
          <w:szCs w:val="22"/>
        </w:rPr>
        <w:t>R01 HD112003 (Schipani, PI)</w:t>
      </w:r>
      <w:r w:rsidR="007F5378" w:rsidRPr="007F5378">
        <w:rPr>
          <w:rFonts w:cs="Arial"/>
          <w:szCs w:val="22"/>
        </w:rPr>
        <w:tab/>
        <w:t>01/04/23-31/03/28</w:t>
      </w:r>
      <w:r w:rsidR="007F5378" w:rsidRPr="007F5378">
        <w:rPr>
          <w:rFonts w:cs="Arial"/>
          <w:szCs w:val="22"/>
        </w:rPr>
        <w:tab/>
      </w:r>
    </w:p>
    <w:p w14:paraId="7F0E7E77" w14:textId="2CEA4373" w:rsidR="007F5378" w:rsidRPr="007F5378" w:rsidRDefault="007F5378" w:rsidP="007F5378">
      <w:pPr>
        <w:spacing w:line="240" w:lineRule="exact"/>
        <w:jc w:val="both"/>
        <w:rPr>
          <w:rFonts w:cs="Arial"/>
          <w:szCs w:val="22"/>
        </w:rPr>
      </w:pPr>
      <w:r w:rsidRPr="007F5378">
        <w:rPr>
          <w:rFonts w:cs="Arial"/>
          <w:szCs w:val="22"/>
        </w:rPr>
        <w:t>NIH/NICHD</w:t>
      </w:r>
      <w:r w:rsidRPr="007F5378">
        <w:rPr>
          <w:rFonts w:cs="Arial"/>
          <w:szCs w:val="22"/>
        </w:rPr>
        <w:tab/>
      </w:r>
      <w:r w:rsidRPr="007F5378">
        <w:rPr>
          <w:rFonts w:cs="Arial"/>
          <w:szCs w:val="22"/>
        </w:rPr>
        <w:tab/>
      </w:r>
    </w:p>
    <w:p w14:paraId="6A16A0A3" w14:textId="77777777" w:rsidR="007F5378" w:rsidRPr="007F5378" w:rsidRDefault="007F5378" w:rsidP="007F5378">
      <w:pPr>
        <w:spacing w:line="240" w:lineRule="exact"/>
        <w:jc w:val="both"/>
        <w:rPr>
          <w:rFonts w:cs="Arial"/>
          <w:szCs w:val="22"/>
        </w:rPr>
      </w:pPr>
      <w:r w:rsidRPr="007F5378">
        <w:rPr>
          <w:rFonts w:cs="Arial"/>
          <w:szCs w:val="22"/>
        </w:rPr>
        <w:t>Role: PI</w:t>
      </w:r>
    </w:p>
    <w:p w14:paraId="011D8A20" w14:textId="77777777" w:rsidR="007F5378" w:rsidRPr="007F5378" w:rsidRDefault="007F5378" w:rsidP="007F5378">
      <w:pPr>
        <w:spacing w:line="240" w:lineRule="exact"/>
        <w:jc w:val="both"/>
        <w:rPr>
          <w:rFonts w:cs="Arial"/>
          <w:szCs w:val="22"/>
        </w:rPr>
      </w:pPr>
      <w:r w:rsidRPr="007F5378">
        <w:rPr>
          <w:rFonts w:cs="Arial"/>
          <w:szCs w:val="22"/>
        </w:rPr>
        <w:t xml:space="preserve">Title: </w:t>
      </w:r>
      <w:r w:rsidRPr="007F5378">
        <w:rPr>
          <w:rFonts w:cs="Arial"/>
          <w:i/>
          <w:iCs/>
          <w:szCs w:val="22"/>
        </w:rPr>
        <w:t>Hypoxia and Mitochondria in Spine Development and Congenital Scoliosis</w:t>
      </w:r>
    </w:p>
    <w:p w14:paraId="6548993B" w14:textId="77777777" w:rsidR="007F5378" w:rsidRPr="007F5378" w:rsidRDefault="007F5378" w:rsidP="007F5378">
      <w:pPr>
        <w:spacing w:line="240" w:lineRule="exact"/>
        <w:jc w:val="both"/>
        <w:rPr>
          <w:rFonts w:cs="Arial"/>
          <w:szCs w:val="22"/>
        </w:rPr>
      </w:pPr>
      <w:r w:rsidRPr="007F5378">
        <w:rPr>
          <w:rFonts w:cs="Arial"/>
          <w:szCs w:val="22"/>
        </w:rPr>
        <w:t>The goal of this study is to advance our understanding of how hypoxia,hypoxia-driven</w:t>
      </w:r>
    </w:p>
    <w:p w14:paraId="744FD93B" w14:textId="21F70F20" w:rsidR="007F5378" w:rsidRPr="009D084D" w:rsidRDefault="007F5378" w:rsidP="007F5378">
      <w:pPr>
        <w:spacing w:line="240" w:lineRule="exact"/>
        <w:jc w:val="both"/>
        <w:rPr>
          <w:rFonts w:cs="Arial"/>
          <w:szCs w:val="22"/>
        </w:rPr>
      </w:pPr>
      <w:r w:rsidRPr="007F5378">
        <w:rPr>
          <w:rFonts w:cs="Arial"/>
          <w:szCs w:val="22"/>
        </w:rPr>
        <w:t xml:space="preserve">pathways, and bioenergetic metabolism control somitogenesis. </w:t>
      </w:r>
    </w:p>
    <w:p w14:paraId="029992B5" w14:textId="77777777" w:rsidR="00883C71" w:rsidRDefault="00883C71" w:rsidP="007F5378">
      <w:pPr>
        <w:spacing w:line="240" w:lineRule="exact"/>
        <w:jc w:val="both"/>
        <w:rPr>
          <w:rFonts w:cs="Arial"/>
          <w:b/>
          <w:bCs/>
          <w:szCs w:val="22"/>
        </w:rPr>
      </w:pPr>
    </w:p>
    <w:p w14:paraId="4A29BA2F" w14:textId="37D2F810" w:rsidR="00883C71" w:rsidRPr="007F5378" w:rsidRDefault="009D084D" w:rsidP="007F5378">
      <w:pPr>
        <w:spacing w:line="240" w:lineRule="exact"/>
        <w:jc w:val="both"/>
        <w:rPr>
          <w:rFonts w:cs="Arial"/>
          <w:szCs w:val="22"/>
        </w:rPr>
      </w:pPr>
      <w:r>
        <w:rPr>
          <w:rFonts w:cs="Arial"/>
          <w:b/>
          <w:bCs/>
          <w:szCs w:val="22"/>
        </w:rPr>
        <w:lastRenderedPageBreak/>
        <w:t>2.</w:t>
      </w:r>
      <w:r w:rsidR="007F5378" w:rsidRPr="007F5378">
        <w:rPr>
          <w:rFonts w:cs="Arial"/>
          <w:b/>
          <w:bCs/>
          <w:szCs w:val="22"/>
        </w:rPr>
        <w:t>R01 AR084536 (Schipani, PI)</w:t>
      </w:r>
      <w:r w:rsidR="007F5378" w:rsidRPr="007F5378">
        <w:rPr>
          <w:rFonts w:cs="Arial"/>
          <w:szCs w:val="22"/>
        </w:rPr>
        <w:tab/>
        <w:t>0</w:t>
      </w:r>
      <w:r w:rsidR="000A6DF1">
        <w:rPr>
          <w:rFonts w:cs="Arial"/>
          <w:szCs w:val="22"/>
        </w:rPr>
        <w:t>6</w:t>
      </w:r>
      <w:r w:rsidR="007F5378" w:rsidRPr="007F5378">
        <w:rPr>
          <w:rFonts w:cs="Arial"/>
          <w:szCs w:val="22"/>
        </w:rPr>
        <w:t>/0</w:t>
      </w:r>
      <w:r w:rsidR="000A6DF1">
        <w:rPr>
          <w:rFonts w:cs="Arial"/>
          <w:szCs w:val="22"/>
        </w:rPr>
        <w:t>3</w:t>
      </w:r>
      <w:r w:rsidR="007F5378" w:rsidRPr="007F5378">
        <w:rPr>
          <w:rFonts w:cs="Arial"/>
          <w:szCs w:val="22"/>
        </w:rPr>
        <w:t>/25-04/3</w:t>
      </w:r>
      <w:r w:rsidR="000A6DF1">
        <w:rPr>
          <w:rFonts w:cs="Arial"/>
          <w:szCs w:val="22"/>
        </w:rPr>
        <w:t>0</w:t>
      </w:r>
      <w:r w:rsidR="007F5378" w:rsidRPr="007F5378">
        <w:rPr>
          <w:rFonts w:cs="Arial"/>
          <w:szCs w:val="22"/>
        </w:rPr>
        <w:t>/30</w:t>
      </w:r>
    </w:p>
    <w:p w14:paraId="59CE3E73" w14:textId="322A5E4E" w:rsidR="007F5378" w:rsidRPr="007F5378" w:rsidRDefault="007F5378" w:rsidP="007F5378">
      <w:pPr>
        <w:spacing w:line="240" w:lineRule="exact"/>
        <w:jc w:val="both"/>
        <w:rPr>
          <w:rFonts w:cs="Arial"/>
          <w:szCs w:val="22"/>
        </w:rPr>
      </w:pPr>
      <w:r w:rsidRPr="007F5378">
        <w:rPr>
          <w:rFonts w:cs="Arial"/>
          <w:szCs w:val="22"/>
        </w:rPr>
        <w:t>NIH/NIAMS</w:t>
      </w:r>
      <w:r w:rsidRPr="007F5378">
        <w:rPr>
          <w:rFonts w:cs="Arial"/>
          <w:szCs w:val="22"/>
        </w:rPr>
        <w:tab/>
      </w:r>
      <w:r w:rsidRPr="007F5378">
        <w:rPr>
          <w:rFonts w:cs="Arial"/>
          <w:szCs w:val="22"/>
        </w:rPr>
        <w:tab/>
      </w:r>
      <w:r w:rsidRPr="007F5378">
        <w:rPr>
          <w:rFonts w:cs="Arial"/>
          <w:szCs w:val="22"/>
        </w:rPr>
        <w:tab/>
      </w:r>
      <w:r w:rsidRPr="007F5378">
        <w:rPr>
          <w:rFonts w:cs="Arial"/>
          <w:szCs w:val="22"/>
        </w:rPr>
        <w:tab/>
      </w:r>
      <w:r w:rsidRPr="007F5378">
        <w:rPr>
          <w:rFonts w:cs="Arial"/>
          <w:szCs w:val="22"/>
        </w:rPr>
        <w:tab/>
      </w:r>
      <w:r w:rsidRPr="007F5378">
        <w:rPr>
          <w:rFonts w:cs="Arial"/>
          <w:szCs w:val="22"/>
        </w:rPr>
        <w:tab/>
      </w:r>
      <w:r w:rsidRPr="007F5378">
        <w:rPr>
          <w:rFonts w:cs="Arial"/>
          <w:szCs w:val="22"/>
        </w:rPr>
        <w:tab/>
      </w:r>
      <w:r w:rsidRPr="007F5378">
        <w:rPr>
          <w:rFonts w:cs="Arial"/>
          <w:szCs w:val="22"/>
        </w:rPr>
        <w:tab/>
      </w:r>
    </w:p>
    <w:p w14:paraId="583EAFEC" w14:textId="77777777" w:rsidR="007F5378" w:rsidRPr="007F5378" w:rsidRDefault="007F5378" w:rsidP="007F5378">
      <w:pPr>
        <w:spacing w:line="240" w:lineRule="exact"/>
        <w:jc w:val="both"/>
        <w:rPr>
          <w:rFonts w:cs="Arial"/>
          <w:szCs w:val="22"/>
        </w:rPr>
      </w:pPr>
      <w:r w:rsidRPr="007F5378">
        <w:rPr>
          <w:rFonts w:cs="Arial"/>
          <w:szCs w:val="22"/>
        </w:rPr>
        <w:t>Role: PI</w:t>
      </w:r>
    </w:p>
    <w:p w14:paraId="77EFCB05" w14:textId="77777777" w:rsidR="007F5378" w:rsidRPr="007F5378" w:rsidRDefault="007F5378" w:rsidP="007F5378">
      <w:pPr>
        <w:spacing w:line="240" w:lineRule="exact"/>
        <w:jc w:val="both"/>
        <w:rPr>
          <w:rFonts w:cs="Arial"/>
          <w:i/>
          <w:iCs/>
          <w:szCs w:val="22"/>
        </w:rPr>
      </w:pPr>
      <w:r w:rsidRPr="007F5378">
        <w:rPr>
          <w:rFonts w:cs="Arial"/>
          <w:szCs w:val="22"/>
        </w:rPr>
        <w:t xml:space="preserve">Title: </w:t>
      </w:r>
      <w:r w:rsidRPr="007F5378">
        <w:rPr>
          <w:rFonts w:cs="Arial"/>
          <w:i/>
          <w:iCs/>
          <w:szCs w:val="22"/>
        </w:rPr>
        <w:t>Mitochondrial Respiration and The Biology of Growth Plate Chondrocytes</w:t>
      </w:r>
    </w:p>
    <w:p w14:paraId="454C7A4C" w14:textId="77777777" w:rsidR="007F5378" w:rsidRPr="007F5378" w:rsidRDefault="007F5378" w:rsidP="007F5378">
      <w:pPr>
        <w:spacing w:line="240" w:lineRule="exact"/>
        <w:jc w:val="both"/>
        <w:rPr>
          <w:rFonts w:cs="Arial"/>
          <w:szCs w:val="22"/>
        </w:rPr>
      </w:pPr>
      <w:r w:rsidRPr="007F5378">
        <w:rPr>
          <w:rFonts w:cs="Arial"/>
          <w:szCs w:val="22"/>
        </w:rPr>
        <w:t>The goal of this study is to establish how oxidative phosphorylation controls chondrocyte hypertrophy in the murine developing growth plate.</w:t>
      </w:r>
    </w:p>
    <w:p w14:paraId="115CD43B" w14:textId="7E97BA4E" w:rsidR="00D76511" w:rsidRPr="002273B5" w:rsidRDefault="00D76511" w:rsidP="002273B5">
      <w:pPr>
        <w:spacing w:line="240" w:lineRule="exact"/>
        <w:jc w:val="both"/>
        <w:rPr>
          <w:rStyle w:val="Strong"/>
          <w:rFonts w:cs="Arial"/>
          <w:szCs w:val="22"/>
        </w:rPr>
      </w:pPr>
    </w:p>
    <w:p w14:paraId="1DD33847" w14:textId="71A13527" w:rsidR="002273B5" w:rsidRDefault="002273B5" w:rsidP="009D084D">
      <w:pPr>
        <w:pStyle w:val="DataField11pt-Single"/>
        <w:tabs>
          <w:tab w:val="left" w:pos="9990"/>
        </w:tabs>
        <w:jc w:val="both"/>
        <w:rPr>
          <w:b/>
          <w:bCs/>
          <w:szCs w:val="22"/>
          <w:u w:val="single"/>
        </w:rPr>
      </w:pPr>
      <w:r w:rsidRPr="002273B5">
        <w:rPr>
          <w:b/>
          <w:bCs/>
          <w:szCs w:val="22"/>
          <w:u w:val="single"/>
        </w:rPr>
        <w:t>Original Publication</w:t>
      </w:r>
      <w:r w:rsidR="001C78E6">
        <w:rPr>
          <w:b/>
          <w:bCs/>
          <w:szCs w:val="22"/>
          <w:u w:val="single"/>
        </w:rPr>
        <w:t>s</w:t>
      </w:r>
      <w:r w:rsidRPr="002273B5">
        <w:rPr>
          <w:b/>
          <w:bCs/>
          <w:szCs w:val="22"/>
          <w:u w:val="single"/>
        </w:rPr>
        <w:t xml:space="preserve"> relevant to this application</w:t>
      </w:r>
    </w:p>
    <w:p w14:paraId="0B2F9211" w14:textId="77777777" w:rsidR="006B0CEB" w:rsidRDefault="006B0CEB" w:rsidP="009D084D">
      <w:pPr>
        <w:pStyle w:val="DataField11pt-Single"/>
        <w:tabs>
          <w:tab w:val="left" w:pos="9990"/>
        </w:tabs>
        <w:jc w:val="both"/>
        <w:rPr>
          <w:b/>
          <w:bCs/>
          <w:szCs w:val="22"/>
          <w:u w:val="single"/>
        </w:rPr>
      </w:pPr>
    </w:p>
    <w:p w14:paraId="025B41D1" w14:textId="0C8DBE7A" w:rsidR="006B0CEB" w:rsidRPr="006B0CEB" w:rsidRDefault="007F5378" w:rsidP="007F5378">
      <w:pPr>
        <w:pStyle w:val="DataField11pt-Single"/>
        <w:numPr>
          <w:ilvl w:val="0"/>
          <w:numId w:val="40"/>
        </w:numPr>
        <w:tabs>
          <w:tab w:val="left" w:pos="9990"/>
        </w:tabs>
        <w:jc w:val="both"/>
        <w:rPr>
          <w:szCs w:val="22"/>
        </w:rPr>
      </w:pPr>
      <w:r w:rsidRPr="007F5378">
        <w:rPr>
          <w:bCs/>
          <w:szCs w:val="22"/>
        </w:rPr>
        <w:t>Lanzolla G, Sabini E, Beigel K, Khan MP, Sherry Liu X, Wang D, Laslow B, Taylor D, Bellido T, Giaccia A, </w:t>
      </w:r>
      <w:r w:rsidRPr="007F5378">
        <w:rPr>
          <w:b/>
          <w:bCs/>
          <w:szCs w:val="22"/>
        </w:rPr>
        <w:t>Schipani E</w:t>
      </w:r>
      <w:r w:rsidRPr="007F5378">
        <w:rPr>
          <w:bCs/>
          <w:szCs w:val="22"/>
        </w:rPr>
        <w:t xml:space="preserve">. Pharmacological inhibition of HIF2 protects against bone loss in an experimental model of estrogen deficiency. </w:t>
      </w:r>
      <w:r w:rsidRPr="007F5378">
        <w:rPr>
          <w:b/>
          <w:bCs/>
          <w:szCs w:val="22"/>
        </w:rPr>
        <w:t>PNAS 2024</w:t>
      </w:r>
      <w:r w:rsidRPr="007F5378">
        <w:rPr>
          <w:bCs/>
          <w:szCs w:val="22"/>
        </w:rPr>
        <w:t>;121.</w:t>
      </w:r>
      <w:r w:rsidR="00BD3EA9">
        <w:rPr>
          <w:bCs/>
          <w:szCs w:val="22"/>
        </w:rPr>
        <w:t xml:space="preserve"> </w:t>
      </w:r>
      <w:r w:rsidR="00BD3EA9" w:rsidRPr="00D217FF">
        <w:rPr>
          <w:b/>
          <w:color w:val="000000" w:themeColor="text1"/>
          <w:szCs w:val="22"/>
        </w:rPr>
        <w:t xml:space="preserve">PMCID: in </w:t>
      </w:r>
      <w:r w:rsidR="006B0CEB">
        <w:rPr>
          <w:b/>
          <w:color w:val="000000" w:themeColor="text1"/>
          <w:szCs w:val="22"/>
        </w:rPr>
        <w:t>progress</w:t>
      </w:r>
    </w:p>
    <w:p w14:paraId="314E6A20" w14:textId="77777777" w:rsidR="006B0CEB" w:rsidRPr="006B0CEB" w:rsidRDefault="007F5378" w:rsidP="006B0CEB">
      <w:pPr>
        <w:pStyle w:val="DataField11pt-Single"/>
        <w:numPr>
          <w:ilvl w:val="0"/>
          <w:numId w:val="40"/>
        </w:numPr>
        <w:tabs>
          <w:tab w:val="left" w:pos="9990"/>
        </w:tabs>
        <w:jc w:val="both"/>
        <w:rPr>
          <w:szCs w:val="22"/>
        </w:rPr>
      </w:pPr>
      <w:r w:rsidRPr="006B0CEB">
        <w:rPr>
          <w:bCs/>
          <w:szCs w:val="22"/>
        </w:rPr>
        <w:t>Khan MP, Sabini E, Beigel K, Lanzolla G, Laslow BM, Wang D, Merceron C, Giaccia A, Long F, Taylor DM, </w:t>
      </w:r>
      <w:r w:rsidRPr="006B0CEB">
        <w:rPr>
          <w:b/>
          <w:bCs/>
          <w:szCs w:val="22"/>
        </w:rPr>
        <w:t xml:space="preserve">Schipani E.  </w:t>
      </w:r>
      <w:r w:rsidRPr="006B0CEB">
        <w:rPr>
          <w:bCs/>
          <w:szCs w:val="22"/>
        </w:rPr>
        <w:t xml:space="preserve">HIF1 safeguards cortical bone formation against impaired oxidatiyve phosphorylation. </w:t>
      </w:r>
      <w:r w:rsidRPr="006B0CEB">
        <w:rPr>
          <w:b/>
          <w:bCs/>
          <w:szCs w:val="22"/>
        </w:rPr>
        <w:t>JCI Insight 2024</w:t>
      </w:r>
      <w:r w:rsidRPr="006B0CEB">
        <w:rPr>
          <w:bCs/>
          <w:szCs w:val="22"/>
        </w:rPr>
        <w:t>; 9(18):e182330</w:t>
      </w:r>
      <w:r w:rsidRPr="006B0CEB">
        <w:rPr>
          <w:b/>
          <w:bCs/>
          <w:i/>
          <w:iCs/>
          <w:szCs w:val="22"/>
        </w:rPr>
        <w:t>.</w:t>
      </w:r>
      <w:r w:rsidR="00CB0C73" w:rsidRPr="006B0CEB">
        <w:rPr>
          <w:b/>
          <w:bCs/>
          <w:i/>
          <w:iCs/>
          <w:szCs w:val="22"/>
        </w:rPr>
        <w:t xml:space="preserve"> </w:t>
      </w:r>
      <w:r w:rsidR="00CB0C73" w:rsidRPr="006B0CEB">
        <w:rPr>
          <w:szCs w:val="22"/>
        </w:rPr>
        <w:t xml:space="preserve">PMCID: </w:t>
      </w:r>
      <w:hyperlink r:id="rId10" w:tgtFrame="_blank" w:history="1">
        <w:r w:rsidR="00CB0C73" w:rsidRPr="006B0CEB">
          <w:rPr>
            <w:rStyle w:val="Hyperlink"/>
            <w:szCs w:val="22"/>
          </w:rPr>
          <w:t>PMC11457864</w:t>
        </w:r>
      </w:hyperlink>
    </w:p>
    <w:p w14:paraId="575365EA" w14:textId="12D2853E" w:rsidR="007F5378" w:rsidRPr="006B0CEB" w:rsidRDefault="002273B5" w:rsidP="006B0CEB">
      <w:pPr>
        <w:pStyle w:val="DataField11pt-Single"/>
        <w:numPr>
          <w:ilvl w:val="0"/>
          <w:numId w:val="40"/>
        </w:numPr>
        <w:tabs>
          <w:tab w:val="left" w:pos="9990"/>
        </w:tabs>
        <w:jc w:val="both"/>
        <w:rPr>
          <w:szCs w:val="22"/>
        </w:rPr>
      </w:pPr>
      <w:r w:rsidRPr="006B0CEB">
        <w:rPr>
          <w:bCs/>
          <w:szCs w:val="22"/>
        </w:rPr>
        <w:t>Yao</w:t>
      </w:r>
      <w:r w:rsidRPr="006B0CEB">
        <w:rPr>
          <w:bCs/>
          <w:szCs w:val="22"/>
          <w:vertAlign w:val="superscript"/>
        </w:rPr>
        <w:t xml:space="preserve"> </w:t>
      </w:r>
      <w:r w:rsidRPr="006B0CEB">
        <w:rPr>
          <w:szCs w:val="22"/>
        </w:rPr>
        <w:t>Q, Parvez Khan M, Merceron C, LaGory</w:t>
      </w:r>
      <w:r w:rsidRPr="006B0CEB">
        <w:rPr>
          <w:bCs/>
          <w:szCs w:val="22"/>
          <w:vertAlign w:val="superscript"/>
        </w:rPr>
        <w:t xml:space="preserve"> </w:t>
      </w:r>
      <w:r w:rsidRPr="006B0CEB">
        <w:rPr>
          <w:szCs w:val="22"/>
        </w:rPr>
        <w:t>E, Tata</w:t>
      </w:r>
      <w:r w:rsidRPr="006B0CEB">
        <w:rPr>
          <w:bCs/>
          <w:szCs w:val="22"/>
          <w:vertAlign w:val="superscript"/>
        </w:rPr>
        <w:t xml:space="preserve"> </w:t>
      </w:r>
      <w:r w:rsidRPr="006B0CEB">
        <w:rPr>
          <w:szCs w:val="22"/>
        </w:rPr>
        <w:t>Z, Mangiavini</w:t>
      </w:r>
      <w:r w:rsidRPr="006B0CEB">
        <w:rPr>
          <w:bCs/>
          <w:szCs w:val="22"/>
          <w:vertAlign w:val="superscript"/>
        </w:rPr>
        <w:t xml:space="preserve"> </w:t>
      </w:r>
      <w:r w:rsidRPr="006B0CEB">
        <w:rPr>
          <w:szCs w:val="22"/>
        </w:rPr>
        <w:t>L, Hu</w:t>
      </w:r>
      <w:r w:rsidRPr="006B0CEB">
        <w:rPr>
          <w:bCs/>
          <w:szCs w:val="22"/>
          <w:vertAlign w:val="superscript"/>
        </w:rPr>
        <w:t xml:space="preserve"> </w:t>
      </w:r>
      <w:r w:rsidRPr="006B0CEB">
        <w:rPr>
          <w:szCs w:val="22"/>
        </w:rPr>
        <w:t>J, Vemulapalli</w:t>
      </w:r>
      <w:r w:rsidRPr="006B0CEB">
        <w:rPr>
          <w:bCs/>
          <w:szCs w:val="22"/>
          <w:vertAlign w:val="superscript"/>
        </w:rPr>
        <w:t xml:space="preserve"> </w:t>
      </w:r>
      <w:r w:rsidRPr="006B0CEB">
        <w:rPr>
          <w:szCs w:val="22"/>
        </w:rPr>
        <w:t>K, Chandel</w:t>
      </w:r>
      <w:r w:rsidRPr="006B0CEB">
        <w:rPr>
          <w:bCs/>
          <w:szCs w:val="22"/>
          <w:vertAlign w:val="superscript"/>
        </w:rPr>
        <w:t xml:space="preserve"> </w:t>
      </w:r>
      <w:r w:rsidRPr="006B0CEB">
        <w:rPr>
          <w:szCs w:val="22"/>
        </w:rPr>
        <w:t>NS, Giaccia</w:t>
      </w:r>
      <w:r w:rsidRPr="006B0CEB">
        <w:rPr>
          <w:bCs/>
          <w:szCs w:val="22"/>
          <w:vertAlign w:val="superscript"/>
        </w:rPr>
        <w:t xml:space="preserve"> </w:t>
      </w:r>
      <w:r w:rsidRPr="006B0CEB">
        <w:rPr>
          <w:szCs w:val="22"/>
        </w:rPr>
        <w:t xml:space="preserve">AJ, </w:t>
      </w:r>
      <w:r w:rsidRPr="006B0CEB">
        <w:rPr>
          <w:b/>
          <w:szCs w:val="22"/>
        </w:rPr>
        <w:t>Schipani</w:t>
      </w:r>
      <w:r w:rsidRPr="006B0CEB">
        <w:rPr>
          <w:b/>
          <w:bCs/>
          <w:szCs w:val="22"/>
          <w:vertAlign w:val="superscript"/>
        </w:rPr>
        <w:t xml:space="preserve"> </w:t>
      </w:r>
      <w:r w:rsidRPr="006B0CEB">
        <w:rPr>
          <w:b/>
          <w:color w:val="000000" w:themeColor="text1"/>
          <w:szCs w:val="22"/>
        </w:rPr>
        <w:t>E</w:t>
      </w:r>
      <w:r w:rsidRPr="006B0CEB">
        <w:rPr>
          <w:color w:val="000000" w:themeColor="text1"/>
          <w:szCs w:val="22"/>
        </w:rPr>
        <w:t xml:space="preserve">. Suppressing mitochondrial respiration is critical for hypoxia tolerance in the fetal growth plate. </w:t>
      </w:r>
      <w:r w:rsidRPr="006B0CEB">
        <w:rPr>
          <w:b/>
          <w:color w:val="000000" w:themeColor="text1"/>
          <w:szCs w:val="22"/>
        </w:rPr>
        <w:t>Developmental Cell 201;</w:t>
      </w:r>
      <w:r w:rsidRPr="006B0CEB">
        <w:rPr>
          <w:color w:val="000000" w:themeColor="text1"/>
          <w:szCs w:val="22"/>
        </w:rPr>
        <w:t>49: 748-763 (</w:t>
      </w:r>
      <w:r w:rsidRPr="006B0CEB">
        <w:rPr>
          <w:b/>
          <w:color w:val="000000" w:themeColor="text1"/>
          <w:szCs w:val="22"/>
        </w:rPr>
        <w:t xml:space="preserve">Preview in the same issue; featured in Science Signaling 2019; 12). </w:t>
      </w:r>
      <w:r w:rsidRPr="006B0CEB">
        <w:rPr>
          <w:szCs w:val="22"/>
        </w:rPr>
        <w:t xml:space="preserve">PMCID: </w:t>
      </w:r>
      <w:hyperlink r:id="rId11" w:tgtFrame="_blank" w:history="1">
        <w:r w:rsidR="00CB0C73" w:rsidRPr="006B0CEB">
          <w:rPr>
            <w:rStyle w:val="Hyperlink"/>
            <w:szCs w:val="22"/>
          </w:rPr>
          <w:t>PMC7255488</w:t>
        </w:r>
      </w:hyperlink>
    </w:p>
    <w:p w14:paraId="19DF849B" w14:textId="77777777" w:rsidR="00D43000" w:rsidRDefault="00D43000" w:rsidP="002273B5">
      <w:pPr>
        <w:pStyle w:val="ListParagraph"/>
        <w:widowControl w:val="0"/>
        <w:tabs>
          <w:tab w:val="left" w:pos="270"/>
        </w:tabs>
        <w:adjustRightInd w:val="0"/>
        <w:spacing w:line="240" w:lineRule="exact"/>
        <w:ind w:left="0"/>
        <w:rPr>
          <w:rFonts w:cs="Arial"/>
          <w:szCs w:val="22"/>
        </w:rPr>
      </w:pPr>
    </w:p>
    <w:p w14:paraId="1E895FFC" w14:textId="535C1367" w:rsidR="00D43000" w:rsidRPr="002273B5" w:rsidRDefault="00D43000" w:rsidP="002273B5">
      <w:pPr>
        <w:pStyle w:val="ListParagraph"/>
        <w:widowControl w:val="0"/>
        <w:tabs>
          <w:tab w:val="left" w:pos="270"/>
        </w:tabs>
        <w:adjustRightInd w:val="0"/>
        <w:spacing w:line="240" w:lineRule="exact"/>
        <w:ind w:left="0"/>
        <w:rPr>
          <w:rFonts w:cs="Arial"/>
          <w:b/>
          <w:i/>
          <w:szCs w:val="22"/>
        </w:rPr>
      </w:pPr>
      <w:r>
        <w:rPr>
          <w:rFonts w:cs="Arial"/>
          <w:szCs w:val="22"/>
        </w:rPr>
        <w:t>I have not published or created research products under another name.</w:t>
      </w:r>
    </w:p>
    <w:p w14:paraId="4B46644B" w14:textId="77777777" w:rsidR="002273B5" w:rsidRPr="002273B5" w:rsidRDefault="002273B5" w:rsidP="009D084D">
      <w:pPr>
        <w:spacing w:line="240" w:lineRule="exact"/>
        <w:jc w:val="both"/>
        <w:rPr>
          <w:rStyle w:val="Strong"/>
          <w:rFonts w:cs="Arial"/>
          <w:szCs w:val="22"/>
        </w:rPr>
      </w:pPr>
    </w:p>
    <w:p w14:paraId="44FC0F52" w14:textId="184FDFB8" w:rsidR="00A208BC" w:rsidRPr="002273B5" w:rsidRDefault="002C51BC" w:rsidP="00A208BC">
      <w:pPr>
        <w:spacing w:line="240" w:lineRule="exact"/>
        <w:ind w:left="1440" w:hanging="1440"/>
        <w:jc w:val="both"/>
        <w:rPr>
          <w:rStyle w:val="Strong"/>
          <w:rFonts w:cs="Arial"/>
          <w:szCs w:val="22"/>
        </w:rPr>
      </w:pPr>
      <w:r w:rsidRPr="002273B5">
        <w:rPr>
          <w:rStyle w:val="Strong"/>
          <w:rFonts w:cs="Arial"/>
          <w:szCs w:val="22"/>
        </w:rPr>
        <w:t>B.</w:t>
      </w:r>
      <w:r w:rsidR="00A208BC" w:rsidRPr="002273B5">
        <w:rPr>
          <w:rStyle w:val="Strong"/>
          <w:rFonts w:cs="Arial"/>
          <w:szCs w:val="22"/>
        </w:rPr>
        <w:t xml:space="preserve"> </w:t>
      </w:r>
      <w:r w:rsidRPr="002273B5">
        <w:rPr>
          <w:rStyle w:val="Strong"/>
          <w:rFonts w:cs="Arial"/>
          <w:szCs w:val="22"/>
        </w:rPr>
        <w:t>Positions</w:t>
      </w:r>
      <w:r w:rsidR="00CF6FAD" w:rsidRPr="002273B5">
        <w:rPr>
          <w:rStyle w:val="Strong"/>
          <w:rFonts w:cs="Arial"/>
          <w:szCs w:val="22"/>
        </w:rPr>
        <w:t>, Scientific Appointments,</w:t>
      </w:r>
      <w:r w:rsidRPr="002273B5">
        <w:rPr>
          <w:rStyle w:val="Strong"/>
          <w:rFonts w:cs="Arial"/>
          <w:szCs w:val="22"/>
        </w:rPr>
        <w:t xml:space="preserve"> and Honors</w:t>
      </w:r>
    </w:p>
    <w:p w14:paraId="54D94472" w14:textId="4632BDF0" w:rsidR="00A208BC" w:rsidRPr="002273B5" w:rsidRDefault="00A208BC" w:rsidP="00A208BC">
      <w:pPr>
        <w:spacing w:line="240" w:lineRule="exact"/>
        <w:ind w:left="1440" w:hanging="1440"/>
        <w:jc w:val="both"/>
        <w:rPr>
          <w:rStyle w:val="Strong"/>
          <w:rFonts w:cs="Arial"/>
          <w:szCs w:val="22"/>
        </w:rPr>
      </w:pPr>
    </w:p>
    <w:p w14:paraId="23AD6A85" w14:textId="732D5091" w:rsidR="00A208BC" w:rsidRPr="002273B5" w:rsidRDefault="00A208BC" w:rsidP="00A208BC">
      <w:pPr>
        <w:spacing w:line="240" w:lineRule="exact"/>
        <w:ind w:left="1440" w:hanging="1440"/>
        <w:jc w:val="both"/>
        <w:rPr>
          <w:rStyle w:val="Strong"/>
          <w:rFonts w:cs="Arial"/>
          <w:szCs w:val="22"/>
          <w:u w:val="single"/>
        </w:rPr>
      </w:pPr>
      <w:r w:rsidRPr="002273B5">
        <w:rPr>
          <w:rStyle w:val="Strong"/>
          <w:rFonts w:cs="Arial"/>
          <w:szCs w:val="22"/>
          <w:u w:val="single"/>
        </w:rPr>
        <w:t>Positions and Scientific Appointments</w:t>
      </w:r>
    </w:p>
    <w:p w14:paraId="7F162F1C" w14:textId="37C8D660" w:rsidR="00A208BC" w:rsidRPr="002273B5" w:rsidRDefault="00A208BC" w:rsidP="00A208BC">
      <w:pPr>
        <w:spacing w:line="240" w:lineRule="exact"/>
        <w:ind w:left="1440" w:hanging="1440"/>
        <w:jc w:val="both"/>
        <w:rPr>
          <w:rFonts w:cs="Arial"/>
          <w:szCs w:val="22"/>
        </w:rPr>
      </w:pPr>
      <w:r w:rsidRPr="002273B5">
        <w:rPr>
          <w:rFonts w:cs="Arial"/>
          <w:szCs w:val="22"/>
        </w:rPr>
        <w:t>2020-present</w:t>
      </w:r>
      <w:r w:rsidRPr="002273B5">
        <w:rPr>
          <w:rFonts w:cs="Arial"/>
          <w:szCs w:val="22"/>
        </w:rPr>
        <w:tab/>
        <w:t>William Wikoff Smith Professor Orthopedic Surgery, University of Pennsylvania, Perelman School of Medicine, Philadelphia, PA</w:t>
      </w:r>
    </w:p>
    <w:p w14:paraId="3D43ABD5" w14:textId="2ED4FF10" w:rsidR="00A208BC" w:rsidRPr="002273B5" w:rsidRDefault="00A208BC" w:rsidP="00A208BC">
      <w:pPr>
        <w:spacing w:line="240" w:lineRule="exact"/>
        <w:ind w:left="1440" w:hanging="1440"/>
        <w:jc w:val="both"/>
        <w:rPr>
          <w:rFonts w:cs="Arial"/>
          <w:szCs w:val="22"/>
        </w:rPr>
      </w:pPr>
      <w:r w:rsidRPr="002273B5">
        <w:rPr>
          <w:rFonts w:cs="Arial"/>
          <w:szCs w:val="22"/>
        </w:rPr>
        <w:t>2020-present</w:t>
      </w:r>
      <w:r w:rsidRPr="002273B5">
        <w:rPr>
          <w:rFonts w:cs="Arial"/>
          <w:szCs w:val="22"/>
        </w:rPr>
        <w:tab/>
        <w:t>Full Professor of Orthopedic Surgery (</w:t>
      </w:r>
      <w:r w:rsidRPr="002273B5">
        <w:rPr>
          <w:rFonts w:cs="Arial"/>
          <w:i/>
          <w:iCs/>
          <w:szCs w:val="22"/>
        </w:rPr>
        <w:t>with tenure</w:t>
      </w:r>
      <w:r w:rsidRPr="002273B5">
        <w:rPr>
          <w:rFonts w:cs="Arial"/>
          <w:szCs w:val="22"/>
        </w:rPr>
        <w:t>), University of Pennsylvania, Perelman School of Medicine, Philadelphia, PA</w:t>
      </w:r>
    </w:p>
    <w:p w14:paraId="74F716A0" w14:textId="3C49C8A7" w:rsidR="00A208BC" w:rsidRPr="002273B5" w:rsidRDefault="00A208BC" w:rsidP="00A208BC">
      <w:pPr>
        <w:spacing w:line="240" w:lineRule="exact"/>
        <w:jc w:val="both"/>
        <w:rPr>
          <w:rFonts w:cs="Arial"/>
          <w:szCs w:val="22"/>
        </w:rPr>
      </w:pPr>
      <w:r w:rsidRPr="002273B5">
        <w:rPr>
          <w:rFonts w:cs="Arial"/>
          <w:szCs w:val="22"/>
        </w:rPr>
        <w:t>2015-2020</w:t>
      </w:r>
      <w:r w:rsidRPr="002273B5">
        <w:rPr>
          <w:rFonts w:cs="Arial"/>
          <w:szCs w:val="22"/>
        </w:rPr>
        <w:tab/>
      </w:r>
      <w:r w:rsidRPr="002273B5">
        <w:rPr>
          <w:rFonts w:cs="Arial"/>
          <w:szCs w:val="22"/>
        </w:rPr>
        <w:tab/>
        <w:t xml:space="preserve">Professor of Cell and Developmental Biology, University of Michigan, School of Medicine, Ann </w:t>
      </w:r>
      <w:r w:rsidRPr="002273B5">
        <w:rPr>
          <w:rFonts w:cs="Arial"/>
          <w:szCs w:val="22"/>
        </w:rPr>
        <w:tab/>
      </w:r>
      <w:r w:rsidRPr="002273B5">
        <w:rPr>
          <w:rFonts w:cs="Arial"/>
          <w:szCs w:val="22"/>
        </w:rPr>
        <w:tab/>
      </w:r>
      <w:r w:rsidRPr="002273B5">
        <w:rPr>
          <w:rFonts w:cs="Arial"/>
          <w:szCs w:val="22"/>
        </w:rPr>
        <w:tab/>
      </w:r>
      <w:r w:rsidRPr="002273B5">
        <w:rPr>
          <w:rFonts w:cs="Arial"/>
          <w:szCs w:val="22"/>
        </w:rPr>
        <w:tab/>
      </w:r>
      <w:r w:rsidRPr="002273B5">
        <w:rPr>
          <w:rFonts w:cs="Arial"/>
          <w:szCs w:val="22"/>
        </w:rPr>
        <w:tab/>
        <w:t>Arbor, MI</w:t>
      </w:r>
    </w:p>
    <w:p w14:paraId="0055D62D" w14:textId="75A37F37" w:rsidR="00A208BC" w:rsidRPr="002273B5" w:rsidRDefault="00A208BC" w:rsidP="00A208BC">
      <w:pPr>
        <w:spacing w:line="240" w:lineRule="exact"/>
        <w:jc w:val="both"/>
        <w:rPr>
          <w:rFonts w:cs="Arial"/>
          <w:szCs w:val="22"/>
        </w:rPr>
      </w:pPr>
      <w:r w:rsidRPr="002273B5">
        <w:rPr>
          <w:rFonts w:cs="Arial"/>
          <w:szCs w:val="22"/>
        </w:rPr>
        <w:t xml:space="preserve">2013-2020 </w:t>
      </w:r>
      <w:r w:rsidRPr="002273B5">
        <w:rPr>
          <w:rFonts w:cs="Arial"/>
          <w:szCs w:val="22"/>
        </w:rPr>
        <w:tab/>
        <w:t>Professor of Medicine, University of Michigan, School of Medicine, Ann Arbor, MI</w:t>
      </w:r>
    </w:p>
    <w:p w14:paraId="0E0E8D07" w14:textId="1C5444F0" w:rsidR="00A208BC" w:rsidRPr="002273B5" w:rsidRDefault="00A208BC" w:rsidP="00A208BC">
      <w:pPr>
        <w:spacing w:line="240" w:lineRule="exact"/>
        <w:jc w:val="both"/>
        <w:rPr>
          <w:rFonts w:cs="Arial"/>
          <w:szCs w:val="22"/>
        </w:rPr>
      </w:pPr>
      <w:r w:rsidRPr="002273B5">
        <w:rPr>
          <w:rFonts w:cs="Arial"/>
          <w:szCs w:val="22"/>
        </w:rPr>
        <w:t xml:space="preserve">2013-2020 </w:t>
      </w:r>
      <w:r w:rsidRPr="002273B5">
        <w:rPr>
          <w:rFonts w:cs="Arial"/>
          <w:szCs w:val="22"/>
        </w:rPr>
        <w:tab/>
        <w:t>Professor of Orthopedic Surgery (</w:t>
      </w:r>
      <w:r w:rsidRPr="002273B5">
        <w:rPr>
          <w:rFonts w:cs="Arial"/>
          <w:i/>
          <w:iCs/>
          <w:szCs w:val="22"/>
        </w:rPr>
        <w:t>with tenure</w:t>
      </w:r>
      <w:r w:rsidRPr="002273B5">
        <w:rPr>
          <w:rFonts w:cs="Arial"/>
          <w:szCs w:val="22"/>
        </w:rPr>
        <w:t xml:space="preserve">), University of Michigan, School of Medicine, Ann </w:t>
      </w:r>
      <w:r w:rsidRPr="002273B5">
        <w:rPr>
          <w:rFonts w:cs="Arial"/>
          <w:szCs w:val="22"/>
        </w:rPr>
        <w:tab/>
      </w:r>
      <w:r w:rsidRPr="002273B5">
        <w:rPr>
          <w:rFonts w:cs="Arial"/>
          <w:szCs w:val="22"/>
        </w:rPr>
        <w:tab/>
      </w:r>
      <w:r w:rsidRPr="002273B5">
        <w:rPr>
          <w:rFonts w:cs="Arial"/>
          <w:szCs w:val="22"/>
        </w:rPr>
        <w:tab/>
      </w:r>
      <w:r w:rsidRPr="002273B5">
        <w:rPr>
          <w:rFonts w:cs="Arial"/>
          <w:szCs w:val="22"/>
        </w:rPr>
        <w:tab/>
      </w:r>
      <w:r w:rsidRPr="002273B5">
        <w:rPr>
          <w:rFonts w:cs="Arial"/>
          <w:szCs w:val="22"/>
        </w:rPr>
        <w:tab/>
        <w:t>Arbor, MI</w:t>
      </w:r>
    </w:p>
    <w:p w14:paraId="3F9DD36D" w14:textId="67E56AA6" w:rsidR="00A208BC" w:rsidRPr="002273B5" w:rsidRDefault="00A208BC" w:rsidP="00A208BC">
      <w:pPr>
        <w:spacing w:line="240" w:lineRule="exact"/>
        <w:jc w:val="both"/>
        <w:rPr>
          <w:rFonts w:cs="Arial"/>
          <w:szCs w:val="22"/>
        </w:rPr>
      </w:pPr>
      <w:r w:rsidRPr="002273B5">
        <w:rPr>
          <w:rFonts w:cs="Arial"/>
          <w:szCs w:val="22"/>
        </w:rPr>
        <w:t>2011-2013</w:t>
      </w:r>
      <w:r w:rsidRPr="002273B5">
        <w:rPr>
          <w:rFonts w:cs="Arial"/>
          <w:szCs w:val="22"/>
        </w:rPr>
        <w:tab/>
      </w:r>
      <w:r w:rsidRPr="002273B5">
        <w:rPr>
          <w:rFonts w:cs="Arial"/>
          <w:szCs w:val="22"/>
        </w:rPr>
        <w:tab/>
        <w:t>Professor of Anatomy and Cell Biology, Indiana University, School of Medicine, Indianapolis, IN</w:t>
      </w:r>
    </w:p>
    <w:p w14:paraId="4334221C" w14:textId="67395CBC" w:rsidR="00A208BC" w:rsidRPr="002273B5" w:rsidRDefault="00A208BC" w:rsidP="00A208BC">
      <w:pPr>
        <w:spacing w:line="240" w:lineRule="exact"/>
        <w:jc w:val="both"/>
        <w:rPr>
          <w:rFonts w:cs="Arial"/>
          <w:szCs w:val="22"/>
        </w:rPr>
      </w:pPr>
      <w:r w:rsidRPr="002273B5">
        <w:rPr>
          <w:rFonts w:cs="Arial"/>
          <w:szCs w:val="22"/>
        </w:rPr>
        <w:t>2011-2013</w:t>
      </w:r>
      <w:r w:rsidRPr="002273B5">
        <w:rPr>
          <w:rFonts w:cs="Arial"/>
          <w:szCs w:val="22"/>
        </w:rPr>
        <w:tab/>
      </w:r>
      <w:r w:rsidRPr="002273B5">
        <w:rPr>
          <w:rFonts w:cs="Arial"/>
          <w:szCs w:val="22"/>
        </w:rPr>
        <w:tab/>
        <w:t>Professor of Medicine (</w:t>
      </w:r>
      <w:r w:rsidRPr="002273B5">
        <w:rPr>
          <w:rFonts w:cs="Arial"/>
          <w:i/>
          <w:iCs/>
          <w:szCs w:val="22"/>
        </w:rPr>
        <w:t>with tenure</w:t>
      </w:r>
      <w:r w:rsidRPr="002273B5">
        <w:rPr>
          <w:rFonts w:cs="Arial"/>
          <w:szCs w:val="22"/>
        </w:rPr>
        <w:t>), Indiana University, School of Medicine, Indianapolis, IN</w:t>
      </w:r>
    </w:p>
    <w:p w14:paraId="1D6D055E" w14:textId="77777777" w:rsidR="00A208BC" w:rsidRPr="002273B5" w:rsidRDefault="00A208BC" w:rsidP="00A208BC">
      <w:pPr>
        <w:spacing w:line="240" w:lineRule="exact"/>
        <w:jc w:val="both"/>
        <w:rPr>
          <w:rFonts w:cs="Arial"/>
          <w:szCs w:val="22"/>
        </w:rPr>
      </w:pPr>
      <w:r w:rsidRPr="002273B5">
        <w:rPr>
          <w:rFonts w:cs="Arial"/>
          <w:szCs w:val="22"/>
        </w:rPr>
        <w:t>2006-2011</w:t>
      </w:r>
      <w:r w:rsidRPr="002273B5">
        <w:rPr>
          <w:rFonts w:cs="Arial"/>
          <w:szCs w:val="22"/>
        </w:rPr>
        <w:tab/>
      </w:r>
      <w:r w:rsidRPr="002273B5">
        <w:rPr>
          <w:rFonts w:cs="Arial"/>
          <w:szCs w:val="22"/>
        </w:rPr>
        <w:tab/>
        <w:t>Associate Professor of Medicine, Harvard Medical School, Boston, MA</w:t>
      </w:r>
    </w:p>
    <w:p w14:paraId="20C93ACB" w14:textId="77777777" w:rsidR="00A208BC" w:rsidRPr="002273B5" w:rsidRDefault="00A208BC" w:rsidP="00A208BC">
      <w:pPr>
        <w:spacing w:line="240" w:lineRule="exact"/>
        <w:jc w:val="both"/>
        <w:rPr>
          <w:rFonts w:cs="Arial"/>
          <w:szCs w:val="22"/>
        </w:rPr>
      </w:pPr>
      <w:r w:rsidRPr="002273B5">
        <w:rPr>
          <w:rFonts w:cs="Arial"/>
          <w:szCs w:val="22"/>
        </w:rPr>
        <w:t>1997-2006</w:t>
      </w:r>
      <w:r w:rsidRPr="002273B5">
        <w:rPr>
          <w:rFonts w:cs="Arial"/>
          <w:szCs w:val="22"/>
        </w:rPr>
        <w:tab/>
      </w:r>
      <w:r w:rsidRPr="002273B5">
        <w:rPr>
          <w:rFonts w:cs="Arial"/>
          <w:szCs w:val="22"/>
        </w:rPr>
        <w:tab/>
        <w:t>Assistant Professor of Medicine, Harvard Medical School, Boston, MA</w:t>
      </w:r>
    </w:p>
    <w:p w14:paraId="5D38D892" w14:textId="77777777" w:rsidR="00A208BC" w:rsidRPr="002273B5" w:rsidRDefault="00A208BC" w:rsidP="00A208BC">
      <w:pPr>
        <w:spacing w:line="240" w:lineRule="exact"/>
        <w:jc w:val="both"/>
        <w:rPr>
          <w:rFonts w:cs="Arial"/>
          <w:szCs w:val="22"/>
        </w:rPr>
      </w:pPr>
      <w:r w:rsidRPr="002273B5">
        <w:rPr>
          <w:rFonts w:cs="Arial"/>
          <w:szCs w:val="22"/>
        </w:rPr>
        <w:t>2008-2011</w:t>
      </w:r>
      <w:r w:rsidRPr="002273B5">
        <w:rPr>
          <w:rFonts w:cs="Arial"/>
          <w:szCs w:val="22"/>
        </w:rPr>
        <w:tab/>
      </w:r>
      <w:r w:rsidRPr="002273B5">
        <w:rPr>
          <w:rFonts w:cs="Arial"/>
          <w:szCs w:val="22"/>
        </w:rPr>
        <w:tab/>
        <w:t xml:space="preserve">Associate in Biology, Massachusetts General Hospital, Boston, MA  </w:t>
      </w:r>
    </w:p>
    <w:p w14:paraId="79A8E830" w14:textId="77777777" w:rsidR="00A208BC" w:rsidRPr="002273B5" w:rsidRDefault="00A208BC" w:rsidP="00A208BC">
      <w:pPr>
        <w:spacing w:line="240" w:lineRule="exact"/>
        <w:jc w:val="both"/>
        <w:rPr>
          <w:rFonts w:cs="Arial"/>
          <w:szCs w:val="22"/>
        </w:rPr>
      </w:pPr>
      <w:r w:rsidRPr="002273B5">
        <w:rPr>
          <w:rFonts w:cs="Arial"/>
          <w:szCs w:val="22"/>
        </w:rPr>
        <w:t>1996-2008</w:t>
      </w:r>
      <w:r w:rsidRPr="002273B5">
        <w:rPr>
          <w:rFonts w:cs="Arial"/>
          <w:szCs w:val="22"/>
        </w:rPr>
        <w:tab/>
      </w:r>
      <w:r w:rsidRPr="002273B5">
        <w:rPr>
          <w:rFonts w:cs="Arial"/>
          <w:szCs w:val="22"/>
        </w:rPr>
        <w:tab/>
        <w:t>Assistant in Biology, Massachusetts General Hospital, Boston, MA</w:t>
      </w:r>
    </w:p>
    <w:p w14:paraId="1A189DC7" w14:textId="4A47B5A9" w:rsidR="00A208BC" w:rsidRPr="002273B5" w:rsidRDefault="00A208BC" w:rsidP="00A208BC">
      <w:pPr>
        <w:spacing w:line="240" w:lineRule="exact"/>
        <w:jc w:val="both"/>
        <w:rPr>
          <w:rFonts w:cs="Arial"/>
          <w:szCs w:val="22"/>
        </w:rPr>
      </w:pPr>
      <w:r w:rsidRPr="002273B5">
        <w:rPr>
          <w:rFonts w:cs="Arial"/>
          <w:szCs w:val="22"/>
        </w:rPr>
        <w:t>1995-1996</w:t>
      </w:r>
      <w:r w:rsidRPr="002273B5">
        <w:rPr>
          <w:rFonts w:cs="Arial"/>
          <w:szCs w:val="22"/>
        </w:rPr>
        <w:tab/>
      </w:r>
      <w:r w:rsidRPr="002273B5">
        <w:rPr>
          <w:rFonts w:cs="Arial"/>
          <w:szCs w:val="22"/>
        </w:rPr>
        <w:tab/>
        <w:t>Assistant Professor (</w:t>
      </w:r>
      <w:r w:rsidRPr="002273B5">
        <w:rPr>
          <w:rFonts w:cs="Arial"/>
          <w:i/>
          <w:iCs/>
          <w:szCs w:val="22"/>
        </w:rPr>
        <w:t xml:space="preserve">with </w:t>
      </w:r>
      <w:r w:rsidR="00BB7382" w:rsidRPr="002273B5">
        <w:rPr>
          <w:rFonts w:cs="Arial"/>
          <w:i/>
          <w:iCs/>
          <w:szCs w:val="22"/>
        </w:rPr>
        <w:t>t</w:t>
      </w:r>
      <w:r w:rsidRPr="002273B5">
        <w:rPr>
          <w:rFonts w:cs="Arial"/>
          <w:i/>
          <w:iCs/>
          <w:szCs w:val="22"/>
        </w:rPr>
        <w:t>enure</w:t>
      </w:r>
      <w:r w:rsidRPr="002273B5">
        <w:rPr>
          <w:rFonts w:cs="Arial"/>
          <w:szCs w:val="22"/>
        </w:rPr>
        <w:t>), University of Pisa, Medical School of Pisa, Pisa, Italy</w:t>
      </w:r>
    </w:p>
    <w:p w14:paraId="03FD6E52" w14:textId="77777777" w:rsidR="00A208BC" w:rsidRPr="002273B5" w:rsidRDefault="00A208BC" w:rsidP="00A208BC">
      <w:pPr>
        <w:spacing w:line="240" w:lineRule="exact"/>
        <w:jc w:val="both"/>
        <w:rPr>
          <w:rFonts w:cs="Arial"/>
          <w:szCs w:val="22"/>
        </w:rPr>
      </w:pPr>
      <w:r w:rsidRPr="002273B5">
        <w:rPr>
          <w:rFonts w:cs="Arial"/>
          <w:szCs w:val="22"/>
        </w:rPr>
        <w:t>1993-1997</w:t>
      </w:r>
      <w:r w:rsidRPr="002273B5">
        <w:rPr>
          <w:rFonts w:cs="Arial"/>
          <w:szCs w:val="22"/>
        </w:rPr>
        <w:tab/>
      </w:r>
      <w:r w:rsidRPr="002273B5">
        <w:rPr>
          <w:rFonts w:cs="Arial"/>
          <w:szCs w:val="22"/>
        </w:rPr>
        <w:tab/>
        <w:t>Instructor in Medicine, Harvard Medical School, Boston, MA</w:t>
      </w:r>
    </w:p>
    <w:p w14:paraId="0FE97930" w14:textId="77777777" w:rsidR="00A208BC" w:rsidRPr="002273B5" w:rsidRDefault="00A208BC" w:rsidP="00A208BC">
      <w:pPr>
        <w:spacing w:line="240" w:lineRule="exact"/>
        <w:jc w:val="both"/>
        <w:rPr>
          <w:rFonts w:cs="Arial"/>
          <w:szCs w:val="22"/>
        </w:rPr>
      </w:pPr>
      <w:r w:rsidRPr="002273B5">
        <w:rPr>
          <w:rFonts w:cs="Arial"/>
          <w:szCs w:val="22"/>
        </w:rPr>
        <w:t>1990-1996</w:t>
      </w:r>
      <w:r w:rsidRPr="002273B5">
        <w:rPr>
          <w:rFonts w:cs="Arial"/>
          <w:szCs w:val="22"/>
        </w:rPr>
        <w:tab/>
      </w:r>
      <w:r w:rsidRPr="002273B5">
        <w:rPr>
          <w:rFonts w:cs="Arial"/>
          <w:szCs w:val="22"/>
        </w:rPr>
        <w:tab/>
        <w:t>Research Fellow in Medicine, Massachusetts General Hospital, Boston, MA</w:t>
      </w:r>
    </w:p>
    <w:p w14:paraId="5C869139" w14:textId="77777777" w:rsidR="00A208BC" w:rsidRPr="002273B5" w:rsidRDefault="00A208BC" w:rsidP="00A208BC">
      <w:pPr>
        <w:spacing w:line="240" w:lineRule="exact"/>
        <w:jc w:val="both"/>
        <w:rPr>
          <w:rFonts w:cs="Arial"/>
          <w:szCs w:val="22"/>
        </w:rPr>
      </w:pPr>
      <w:r w:rsidRPr="002273B5">
        <w:rPr>
          <w:rFonts w:cs="Arial"/>
          <w:szCs w:val="22"/>
        </w:rPr>
        <w:t>1990-1993</w:t>
      </w:r>
      <w:r w:rsidRPr="002273B5">
        <w:rPr>
          <w:rFonts w:cs="Arial"/>
          <w:szCs w:val="22"/>
        </w:rPr>
        <w:tab/>
      </w:r>
      <w:r w:rsidRPr="002273B5">
        <w:rPr>
          <w:rFonts w:cs="Arial"/>
          <w:szCs w:val="22"/>
        </w:rPr>
        <w:tab/>
        <w:t>Research Fellow in Medicine, Harvard Medical School, Boston, MA</w:t>
      </w:r>
    </w:p>
    <w:p w14:paraId="135CC611" w14:textId="77777777" w:rsidR="00A208BC" w:rsidRPr="002273B5" w:rsidRDefault="00A208BC" w:rsidP="00A208BC">
      <w:pPr>
        <w:spacing w:line="240" w:lineRule="exact"/>
        <w:jc w:val="both"/>
        <w:rPr>
          <w:rFonts w:cs="Arial"/>
          <w:szCs w:val="22"/>
        </w:rPr>
      </w:pPr>
      <w:r w:rsidRPr="002273B5">
        <w:rPr>
          <w:rFonts w:cs="Arial"/>
          <w:szCs w:val="22"/>
        </w:rPr>
        <w:t>1985-1988</w:t>
      </w:r>
      <w:r w:rsidRPr="002273B5">
        <w:rPr>
          <w:rFonts w:cs="Arial"/>
          <w:szCs w:val="22"/>
        </w:rPr>
        <w:tab/>
      </w:r>
      <w:r w:rsidRPr="002273B5">
        <w:rPr>
          <w:rFonts w:cs="Arial"/>
          <w:szCs w:val="22"/>
        </w:rPr>
        <w:tab/>
        <w:t>Clinical Fellow-Medical School of Pisa, Pisa, Italy</w:t>
      </w:r>
    </w:p>
    <w:p w14:paraId="68F40880" w14:textId="77777777" w:rsidR="00A208BC" w:rsidRPr="002273B5" w:rsidRDefault="00A208BC" w:rsidP="00A208BC">
      <w:pPr>
        <w:spacing w:line="240" w:lineRule="exact"/>
        <w:ind w:left="1440" w:hanging="1440"/>
        <w:jc w:val="both"/>
        <w:rPr>
          <w:rFonts w:cs="Arial"/>
          <w:szCs w:val="22"/>
        </w:rPr>
      </w:pPr>
    </w:p>
    <w:p w14:paraId="55BFE1BB" w14:textId="1050D792" w:rsidR="00A208BC" w:rsidRDefault="00A208BC" w:rsidP="00A208BC">
      <w:pPr>
        <w:spacing w:line="240" w:lineRule="exact"/>
        <w:ind w:left="1440" w:hanging="1440"/>
        <w:jc w:val="both"/>
        <w:rPr>
          <w:rFonts w:cs="Arial"/>
          <w:b/>
          <w:bCs/>
          <w:szCs w:val="22"/>
          <w:u w:val="single"/>
        </w:rPr>
      </w:pPr>
      <w:r w:rsidRPr="002273B5">
        <w:rPr>
          <w:rFonts w:cs="Arial"/>
          <w:b/>
          <w:bCs/>
          <w:szCs w:val="22"/>
          <w:u w:val="single"/>
        </w:rPr>
        <w:t>Honors</w:t>
      </w:r>
    </w:p>
    <w:p w14:paraId="491CE87F" w14:textId="68C5CFC1" w:rsidR="002D2696" w:rsidRPr="002D2696" w:rsidRDefault="002D2696" w:rsidP="00A208BC">
      <w:pPr>
        <w:spacing w:line="240" w:lineRule="exact"/>
        <w:ind w:left="1440" w:hanging="1440"/>
        <w:jc w:val="both"/>
        <w:rPr>
          <w:rFonts w:cs="Arial"/>
          <w:szCs w:val="22"/>
        </w:rPr>
      </w:pPr>
      <w:r w:rsidRPr="002D2696">
        <w:rPr>
          <w:rFonts w:cs="Arial"/>
          <w:szCs w:val="22"/>
        </w:rPr>
        <w:t>2024-present</w:t>
      </w:r>
      <w:r w:rsidRPr="002D2696">
        <w:rPr>
          <w:rFonts w:cs="Arial"/>
          <w:szCs w:val="22"/>
        </w:rPr>
        <w:tab/>
        <w:t>Consulting Editor of JCI Insight</w:t>
      </w:r>
    </w:p>
    <w:p w14:paraId="7200DA09" w14:textId="45763622" w:rsidR="00C42FD1" w:rsidRPr="00C42FD1" w:rsidRDefault="00C42FD1" w:rsidP="00A208BC">
      <w:pPr>
        <w:spacing w:line="240" w:lineRule="exact"/>
        <w:ind w:left="1440" w:hanging="1440"/>
        <w:jc w:val="both"/>
        <w:rPr>
          <w:rFonts w:cs="Arial"/>
          <w:szCs w:val="22"/>
        </w:rPr>
      </w:pPr>
      <w:r w:rsidRPr="00C42FD1">
        <w:rPr>
          <w:rFonts w:cs="Arial"/>
          <w:szCs w:val="22"/>
        </w:rPr>
        <w:t>2024</w:t>
      </w:r>
      <w:r w:rsidRPr="00C42FD1">
        <w:rPr>
          <w:rFonts w:cs="Arial"/>
          <w:szCs w:val="22"/>
        </w:rPr>
        <w:tab/>
        <w:t>Associate Editor of Endocrinology</w:t>
      </w:r>
    </w:p>
    <w:p w14:paraId="6897F7E3" w14:textId="517699F1" w:rsidR="00DF7406" w:rsidRDefault="00DF7406" w:rsidP="00DF7406">
      <w:pPr>
        <w:pStyle w:val="DataField11pt-Single"/>
        <w:spacing w:line="240" w:lineRule="exact"/>
        <w:ind w:left="1440" w:hanging="1440"/>
        <w:jc w:val="both"/>
        <w:rPr>
          <w:szCs w:val="22"/>
        </w:rPr>
      </w:pPr>
      <w:r w:rsidRPr="002273B5">
        <w:rPr>
          <w:szCs w:val="22"/>
        </w:rPr>
        <w:t>2022</w:t>
      </w:r>
      <w:r w:rsidRPr="002273B5">
        <w:rPr>
          <w:szCs w:val="22"/>
        </w:rPr>
        <w:tab/>
        <w:t>Chair</w:t>
      </w:r>
      <w:r w:rsidR="00F63164" w:rsidRPr="002273B5">
        <w:rPr>
          <w:szCs w:val="22"/>
        </w:rPr>
        <w:t xml:space="preserve"> of the </w:t>
      </w:r>
      <w:r w:rsidRPr="002273B5">
        <w:rPr>
          <w:szCs w:val="22"/>
        </w:rPr>
        <w:t xml:space="preserve">2022 Bone and Teeth Gordon </w:t>
      </w:r>
      <w:r w:rsidR="000E40FC" w:rsidRPr="002273B5">
        <w:rPr>
          <w:szCs w:val="22"/>
        </w:rPr>
        <w:t xml:space="preserve">Research </w:t>
      </w:r>
      <w:r w:rsidRPr="002273B5">
        <w:rPr>
          <w:szCs w:val="22"/>
        </w:rPr>
        <w:t>Conference</w:t>
      </w:r>
    </w:p>
    <w:p w14:paraId="594454EA" w14:textId="5F956A0E" w:rsidR="00F63164" w:rsidRPr="002273B5" w:rsidRDefault="00F63164" w:rsidP="00DF7406">
      <w:pPr>
        <w:pStyle w:val="DataField11pt-Single"/>
        <w:spacing w:line="240" w:lineRule="exact"/>
        <w:ind w:left="1440" w:hanging="1440"/>
        <w:jc w:val="both"/>
        <w:rPr>
          <w:i/>
          <w:iCs/>
          <w:color w:val="000000" w:themeColor="text1"/>
          <w:szCs w:val="22"/>
        </w:rPr>
      </w:pPr>
      <w:r w:rsidRPr="002273B5">
        <w:rPr>
          <w:szCs w:val="22"/>
        </w:rPr>
        <w:t>2021-</w:t>
      </w:r>
      <w:r w:rsidR="00696120">
        <w:rPr>
          <w:szCs w:val="22"/>
        </w:rPr>
        <w:t>2022</w:t>
      </w:r>
      <w:r w:rsidRPr="002273B5">
        <w:rPr>
          <w:szCs w:val="22"/>
        </w:rPr>
        <w:tab/>
      </w:r>
      <w:r w:rsidRPr="002273B5">
        <w:rPr>
          <w:color w:val="000000" w:themeColor="text1"/>
          <w:szCs w:val="22"/>
        </w:rPr>
        <w:t xml:space="preserve">Reviewing Editor of </w:t>
      </w:r>
      <w:r w:rsidRPr="002273B5">
        <w:rPr>
          <w:i/>
          <w:iCs/>
          <w:color w:val="000000" w:themeColor="text1"/>
          <w:szCs w:val="22"/>
        </w:rPr>
        <w:t>eLife</w:t>
      </w:r>
    </w:p>
    <w:p w14:paraId="1FBF9A8F" w14:textId="0F978755" w:rsidR="00F63164" w:rsidRPr="002273B5" w:rsidRDefault="00F63164" w:rsidP="00F63164">
      <w:pPr>
        <w:tabs>
          <w:tab w:val="left" w:pos="1980"/>
        </w:tabs>
        <w:spacing w:line="240" w:lineRule="exact"/>
        <w:rPr>
          <w:rFonts w:cs="Arial"/>
          <w:i/>
          <w:iCs/>
          <w:color w:val="000000" w:themeColor="text1"/>
          <w:szCs w:val="22"/>
        </w:rPr>
      </w:pPr>
      <w:r w:rsidRPr="002273B5">
        <w:rPr>
          <w:rFonts w:cs="Arial"/>
          <w:color w:val="000000" w:themeColor="text1"/>
          <w:szCs w:val="22"/>
        </w:rPr>
        <w:t>2021-</w:t>
      </w:r>
      <w:r w:rsidR="00696120">
        <w:rPr>
          <w:rFonts w:cs="Arial"/>
          <w:color w:val="000000" w:themeColor="text1"/>
          <w:szCs w:val="22"/>
        </w:rPr>
        <w:t xml:space="preserve">2024      </w:t>
      </w:r>
      <w:r w:rsidRPr="002273B5">
        <w:rPr>
          <w:rFonts w:cs="Arial"/>
          <w:color w:val="000000" w:themeColor="text1"/>
          <w:szCs w:val="22"/>
        </w:rPr>
        <w:t xml:space="preserve">Associate Editor of </w:t>
      </w:r>
      <w:r w:rsidRPr="002273B5">
        <w:rPr>
          <w:rFonts w:cs="Arial"/>
          <w:i/>
          <w:iCs/>
          <w:color w:val="000000" w:themeColor="text1"/>
          <w:szCs w:val="22"/>
        </w:rPr>
        <w:t>JCI Insight</w:t>
      </w:r>
    </w:p>
    <w:p w14:paraId="2AB7A0F5" w14:textId="4911D4B0" w:rsidR="002C51BC" w:rsidRPr="002273B5" w:rsidRDefault="006F07AD" w:rsidP="002C51BC">
      <w:pPr>
        <w:pStyle w:val="DataField11pt-Single"/>
        <w:rPr>
          <w:rStyle w:val="Strong"/>
          <w:b w:val="0"/>
          <w:bCs w:val="0"/>
          <w:szCs w:val="22"/>
        </w:rPr>
      </w:pPr>
      <w:r w:rsidRPr="002273B5">
        <w:rPr>
          <w:rStyle w:val="Strong"/>
          <w:b w:val="0"/>
          <w:bCs w:val="0"/>
          <w:szCs w:val="22"/>
        </w:rPr>
        <w:t>2021</w:t>
      </w:r>
      <w:r w:rsidR="000E40FC" w:rsidRPr="002273B5">
        <w:rPr>
          <w:rStyle w:val="Strong"/>
          <w:b w:val="0"/>
          <w:bCs w:val="0"/>
          <w:szCs w:val="22"/>
        </w:rPr>
        <w:t>-</w:t>
      </w:r>
      <w:r w:rsidR="00696120">
        <w:rPr>
          <w:rStyle w:val="Strong"/>
          <w:b w:val="0"/>
          <w:bCs w:val="0"/>
          <w:szCs w:val="22"/>
        </w:rPr>
        <w:t>2023</w:t>
      </w:r>
      <w:r w:rsidR="00696120">
        <w:rPr>
          <w:rStyle w:val="Strong"/>
          <w:b w:val="0"/>
          <w:bCs w:val="0"/>
          <w:szCs w:val="22"/>
        </w:rPr>
        <w:tab/>
      </w:r>
      <w:r w:rsidRPr="002273B5">
        <w:rPr>
          <w:rStyle w:val="Strong"/>
          <w:b w:val="0"/>
          <w:bCs w:val="0"/>
          <w:szCs w:val="22"/>
        </w:rPr>
        <w:tab/>
        <w:t xml:space="preserve">Editorial Board </w:t>
      </w:r>
      <w:r w:rsidR="00F63164" w:rsidRPr="002273B5">
        <w:rPr>
          <w:rStyle w:val="Strong"/>
          <w:b w:val="0"/>
          <w:bCs w:val="0"/>
          <w:szCs w:val="22"/>
        </w:rPr>
        <w:t xml:space="preserve">Member of </w:t>
      </w:r>
      <w:r w:rsidR="00FE40EE" w:rsidRPr="002273B5">
        <w:rPr>
          <w:rStyle w:val="Strong"/>
          <w:b w:val="0"/>
          <w:bCs w:val="0"/>
          <w:i/>
          <w:iCs/>
          <w:szCs w:val="22"/>
        </w:rPr>
        <w:t>Journal of Bone and Mineral Research</w:t>
      </w:r>
    </w:p>
    <w:p w14:paraId="10B55B4A" w14:textId="5B19A219" w:rsidR="006F07AD" w:rsidRPr="002273B5" w:rsidRDefault="006F07AD" w:rsidP="006F07AD">
      <w:pPr>
        <w:pStyle w:val="DataField11pt-Single"/>
        <w:spacing w:line="240" w:lineRule="exact"/>
        <w:ind w:left="1440" w:hanging="1440"/>
        <w:jc w:val="both"/>
        <w:rPr>
          <w:szCs w:val="22"/>
        </w:rPr>
      </w:pPr>
      <w:r w:rsidRPr="002273B5">
        <w:rPr>
          <w:szCs w:val="22"/>
        </w:rPr>
        <w:t xml:space="preserve">2020 </w:t>
      </w:r>
      <w:r w:rsidRPr="002273B5">
        <w:rPr>
          <w:szCs w:val="22"/>
        </w:rPr>
        <w:tab/>
        <w:t xml:space="preserve">Co-Chair of 2020 Bone and Teeth Gordon </w:t>
      </w:r>
      <w:r w:rsidR="000E40FC" w:rsidRPr="002273B5">
        <w:rPr>
          <w:szCs w:val="22"/>
        </w:rPr>
        <w:t xml:space="preserve">Research </w:t>
      </w:r>
      <w:r w:rsidRPr="002273B5">
        <w:rPr>
          <w:szCs w:val="22"/>
        </w:rPr>
        <w:t>Conferences</w:t>
      </w:r>
    </w:p>
    <w:p w14:paraId="016C87FB" w14:textId="6A313F72" w:rsidR="000E40FC" w:rsidRPr="002273B5" w:rsidRDefault="000E40FC" w:rsidP="000E40FC">
      <w:pPr>
        <w:pStyle w:val="DataField11pt-Single"/>
        <w:spacing w:line="240" w:lineRule="exact"/>
        <w:ind w:left="1440" w:hanging="1440"/>
        <w:jc w:val="both"/>
        <w:rPr>
          <w:szCs w:val="22"/>
        </w:rPr>
      </w:pPr>
      <w:r w:rsidRPr="002273B5">
        <w:rPr>
          <w:szCs w:val="22"/>
        </w:rPr>
        <w:t>2020</w:t>
      </w:r>
      <w:r w:rsidRPr="002273B5">
        <w:rPr>
          <w:szCs w:val="22"/>
        </w:rPr>
        <w:tab/>
        <w:t xml:space="preserve">Guest Editor of </w:t>
      </w:r>
      <w:r w:rsidRPr="002273B5">
        <w:rPr>
          <w:i/>
          <w:iCs/>
          <w:szCs w:val="22"/>
        </w:rPr>
        <w:t>Bone</w:t>
      </w:r>
    </w:p>
    <w:p w14:paraId="6D6E304B" w14:textId="176F027C" w:rsidR="006F07AD" w:rsidRPr="002273B5" w:rsidRDefault="006F07AD" w:rsidP="006F07AD">
      <w:pPr>
        <w:pStyle w:val="DataField11pt-Single"/>
        <w:spacing w:line="240" w:lineRule="exact"/>
        <w:ind w:left="1440" w:hanging="1440"/>
        <w:jc w:val="both"/>
        <w:rPr>
          <w:szCs w:val="22"/>
        </w:rPr>
      </w:pPr>
      <w:r w:rsidRPr="002273B5">
        <w:rPr>
          <w:szCs w:val="22"/>
        </w:rPr>
        <w:t>2019</w:t>
      </w:r>
      <w:r w:rsidR="000E40FC" w:rsidRPr="002273B5">
        <w:rPr>
          <w:szCs w:val="22"/>
        </w:rPr>
        <w:t>-present</w:t>
      </w:r>
      <w:r w:rsidRPr="002273B5">
        <w:rPr>
          <w:szCs w:val="22"/>
        </w:rPr>
        <w:tab/>
        <w:t>Fellow of the ASBMR</w:t>
      </w:r>
    </w:p>
    <w:p w14:paraId="170FC38B" w14:textId="543B6C40" w:rsidR="006F07AD" w:rsidRPr="002273B5" w:rsidRDefault="006F07AD" w:rsidP="006F07AD">
      <w:pPr>
        <w:pStyle w:val="DataField11pt-Single"/>
        <w:spacing w:line="240" w:lineRule="exact"/>
        <w:ind w:left="1440" w:hanging="1440"/>
        <w:jc w:val="both"/>
        <w:rPr>
          <w:szCs w:val="22"/>
        </w:rPr>
      </w:pPr>
      <w:r w:rsidRPr="002273B5">
        <w:rPr>
          <w:szCs w:val="22"/>
        </w:rPr>
        <w:t>2019</w:t>
      </w:r>
      <w:r w:rsidRPr="002273B5">
        <w:rPr>
          <w:szCs w:val="22"/>
        </w:rPr>
        <w:tab/>
        <w:t>ASBMR Esteemed Paula Stern Achievement Award</w:t>
      </w:r>
    </w:p>
    <w:p w14:paraId="6F736010" w14:textId="3441513A" w:rsidR="006F07AD" w:rsidRPr="002273B5" w:rsidRDefault="006F07AD" w:rsidP="006F07AD">
      <w:pPr>
        <w:pStyle w:val="DataField11pt-Single"/>
        <w:spacing w:line="240" w:lineRule="exact"/>
        <w:jc w:val="both"/>
        <w:rPr>
          <w:szCs w:val="22"/>
        </w:rPr>
      </w:pPr>
      <w:r w:rsidRPr="002273B5">
        <w:rPr>
          <w:szCs w:val="22"/>
        </w:rPr>
        <w:t>201</w:t>
      </w:r>
      <w:r w:rsidR="000E40FC" w:rsidRPr="002273B5">
        <w:rPr>
          <w:szCs w:val="22"/>
        </w:rPr>
        <w:t>7</w:t>
      </w:r>
      <w:r w:rsidRPr="002273B5">
        <w:rPr>
          <w:szCs w:val="22"/>
        </w:rPr>
        <w:t>-2019</w:t>
      </w:r>
      <w:r w:rsidRPr="002273B5">
        <w:rPr>
          <w:szCs w:val="22"/>
        </w:rPr>
        <w:tab/>
      </w:r>
      <w:r w:rsidRPr="002273B5">
        <w:rPr>
          <w:szCs w:val="22"/>
        </w:rPr>
        <w:tab/>
      </w:r>
      <w:r w:rsidR="00915571" w:rsidRPr="002273B5">
        <w:rPr>
          <w:szCs w:val="22"/>
        </w:rPr>
        <w:t xml:space="preserve">Member of the </w:t>
      </w:r>
      <w:r w:rsidRPr="002273B5">
        <w:rPr>
          <w:szCs w:val="22"/>
        </w:rPr>
        <w:t>ASBMR Council</w:t>
      </w:r>
    </w:p>
    <w:p w14:paraId="0100B35D" w14:textId="0019168E" w:rsidR="006F07AD" w:rsidRDefault="006F07AD" w:rsidP="006F07AD">
      <w:pPr>
        <w:pStyle w:val="DataField11pt-Single"/>
        <w:spacing w:line="240" w:lineRule="exact"/>
        <w:jc w:val="both"/>
        <w:rPr>
          <w:i/>
          <w:szCs w:val="22"/>
        </w:rPr>
      </w:pPr>
      <w:r w:rsidRPr="002273B5">
        <w:rPr>
          <w:szCs w:val="22"/>
        </w:rPr>
        <w:t>2016-20</w:t>
      </w:r>
      <w:r w:rsidR="00FE40EE" w:rsidRPr="002273B5">
        <w:rPr>
          <w:szCs w:val="22"/>
        </w:rPr>
        <w:t>20</w:t>
      </w:r>
      <w:r w:rsidRPr="002273B5">
        <w:rPr>
          <w:szCs w:val="22"/>
        </w:rPr>
        <w:tab/>
      </w:r>
      <w:r w:rsidRPr="002273B5">
        <w:rPr>
          <w:szCs w:val="22"/>
        </w:rPr>
        <w:tab/>
        <w:t xml:space="preserve">Editorial Board </w:t>
      </w:r>
      <w:r w:rsidR="00915571" w:rsidRPr="002273B5">
        <w:rPr>
          <w:szCs w:val="22"/>
        </w:rPr>
        <w:t xml:space="preserve">Member </w:t>
      </w:r>
      <w:r w:rsidRPr="002273B5">
        <w:rPr>
          <w:szCs w:val="22"/>
        </w:rPr>
        <w:t xml:space="preserve">of </w:t>
      </w:r>
      <w:r w:rsidRPr="002273B5">
        <w:rPr>
          <w:i/>
          <w:szCs w:val="22"/>
        </w:rPr>
        <w:t>Endocrinology</w:t>
      </w:r>
    </w:p>
    <w:p w14:paraId="6608AB3C" w14:textId="51015260" w:rsidR="00C42FD1" w:rsidRPr="0073072C" w:rsidRDefault="00C42FD1" w:rsidP="0073072C">
      <w:pPr>
        <w:pStyle w:val="DataField11pt-Single"/>
        <w:jc w:val="both"/>
        <w:rPr>
          <w:iCs/>
          <w:szCs w:val="22"/>
        </w:rPr>
      </w:pPr>
      <w:r w:rsidRPr="00C42FD1">
        <w:rPr>
          <w:iCs/>
          <w:szCs w:val="22"/>
        </w:rPr>
        <w:lastRenderedPageBreak/>
        <w:t>2015</w:t>
      </w:r>
      <w:r w:rsidRPr="00C42FD1">
        <w:rPr>
          <w:iCs/>
          <w:szCs w:val="22"/>
        </w:rPr>
        <w:tab/>
      </w:r>
      <w:r w:rsidRPr="00C42FD1">
        <w:rPr>
          <w:iCs/>
          <w:szCs w:val="22"/>
        </w:rPr>
        <w:tab/>
      </w:r>
      <w:r w:rsidRPr="00C42FD1">
        <w:rPr>
          <w:iCs/>
          <w:szCs w:val="22"/>
        </w:rPr>
        <w:tab/>
        <w:t xml:space="preserve">Editor Scientific Reports (Nature Publishing Group) </w:t>
      </w:r>
    </w:p>
    <w:p w14:paraId="44DF276C" w14:textId="4FBE57CE" w:rsidR="00FE40EE" w:rsidRPr="002273B5" w:rsidRDefault="00FE40EE" w:rsidP="00FE40EE">
      <w:pPr>
        <w:tabs>
          <w:tab w:val="left" w:pos="1620"/>
        </w:tabs>
        <w:spacing w:line="240" w:lineRule="exact"/>
        <w:jc w:val="both"/>
        <w:rPr>
          <w:rFonts w:cs="Arial"/>
          <w:szCs w:val="22"/>
        </w:rPr>
      </w:pPr>
      <w:r w:rsidRPr="002273B5">
        <w:rPr>
          <w:rFonts w:cs="Arial"/>
          <w:szCs w:val="22"/>
        </w:rPr>
        <w:t xml:space="preserve">2014-2015      </w:t>
      </w:r>
      <w:r w:rsidR="000E40FC" w:rsidRPr="002273B5">
        <w:rPr>
          <w:rFonts w:cs="Arial"/>
          <w:szCs w:val="22"/>
        </w:rPr>
        <w:t xml:space="preserve">Section </w:t>
      </w:r>
      <w:r w:rsidRPr="002273B5">
        <w:rPr>
          <w:rFonts w:cs="Arial"/>
          <w:szCs w:val="22"/>
        </w:rPr>
        <w:t xml:space="preserve">Editor </w:t>
      </w:r>
      <w:r w:rsidRPr="002273B5">
        <w:rPr>
          <w:rFonts w:cs="Arial"/>
          <w:i/>
          <w:iCs/>
          <w:szCs w:val="22"/>
        </w:rPr>
        <w:t>Current Osteoporosis Reports</w:t>
      </w:r>
    </w:p>
    <w:p w14:paraId="531610A7" w14:textId="0283048B" w:rsidR="00FE40EE" w:rsidRPr="002273B5" w:rsidRDefault="00FE40EE" w:rsidP="00FE40EE">
      <w:pPr>
        <w:tabs>
          <w:tab w:val="left" w:pos="1620"/>
        </w:tabs>
        <w:spacing w:line="240" w:lineRule="exact"/>
        <w:jc w:val="both"/>
        <w:rPr>
          <w:rFonts w:cs="Arial"/>
          <w:szCs w:val="22"/>
        </w:rPr>
      </w:pPr>
      <w:r w:rsidRPr="002273B5">
        <w:rPr>
          <w:rFonts w:cs="Arial"/>
          <w:szCs w:val="22"/>
        </w:rPr>
        <w:t xml:space="preserve">2014-2018      Regular </w:t>
      </w:r>
      <w:r w:rsidR="00915571" w:rsidRPr="002273B5">
        <w:rPr>
          <w:rFonts w:cs="Arial"/>
          <w:szCs w:val="22"/>
        </w:rPr>
        <w:t>M</w:t>
      </w:r>
      <w:r w:rsidRPr="002273B5">
        <w:rPr>
          <w:rFonts w:cs="Arial"/>
          <w:szCs w:val="22"/>
        </w:rPr>
        <w:t>ember MTE NIH Study Section</w:t>
      </w:r>
    </w:p>
    <w:p w14:paraId="111FF203" w14:textId="0E0DF50F" w:rsidR="00FE40EE" w:rsidRPr="002273B5" w:rsidRDefault="00FE40EE" w:rsidP="00FE40EE">
      <w:pPr>
        <w:tabs>
          <w:tab w:val="left" w:pos="1620"/>
        </w:tabs>
        <w:spacing w:line="240" w:lineRule="exact"/>
        <w:jc w:val="both"/>
        <w:rPr>
          <w:rFonts w:cs="Arial"/>
          <w:szCs w:val="22"/>
        </w:rPr>
      </w:pPr>
      <w:r w:rsidRPr="002273B5">
        <w:rPr>
          <w:rFonts w:cs="Arial"/>
          <w:szCs w:val="22"/>
        </w:rPr>
        <w:t>200</w:t>
      </w:r>
      <w:r w:rsidR="00767091" w:rsidRPr="002273B5">
        <w:rPr>
          <w:rFonts w:cs="Arial"/>
          <w:szCs w:val="22"/>
        </w:rPr>
        <w:t>7</w:t>
      </w:r>
      <w:r w:rsidRPr="002273B5">
        <w:rPr>
          <w:rFonts w:cs="Arial"/>
          <w:szCs w:val="22"/>
        </w:rPr>
        <w:t xml:space="preserve">-2011      Regular </w:t>
      </w:r>
      <w:r w:rsidR="00915571" w:rsidRPr="002273B5">
        <w:rPr>
          <w:rFonts w:cs="Arial"/>
          <w:szCs w:val="22"/>
        </w:rPr>
        <w:t>M</w:t>
      </w:r>
      <w:r w:rsidRPr="002273B5">
        <w:rPr>
          <w:rFonts w:cs="Arial"/>
          <w:szCs w:val="22"/>
        </w:rPr>
        <w:t>ember SBSR NIH Study Section</w:t>
      </w:r>
    </w:p>
    <w:p w14:paraId="084C9905" w14:textId="2D72F57C" w:rsidR="00FE40EE" w:rsidRPr="002273B5" w:rsidRDefault="00FE40EE" w:rsidP="00FE40EE">
      <w:pPr>
        <w:tabs>
          <w:tab w:val="left" w:pos="1620"/>
        </w:tabs>
        <w:spacing w:line="240" w:lineRule="exact"/>
        <w:jc w:val="both"/>
        <w:rPr>
          <w:rFonts w:cs="Arial"/>
          <w:szCs w:val="22"/>
        </w:rPr>
      </w:pPr>
      <w:r w:rsidRPr="002273B5">
        <w:rPr>
          <w:rFonts w:cs="Arial"/>
          <w:szCs w:val="22"/>
        </w:rPr>
        <w:t xml:space="preserve">2007-2011      </w:t>
      </w:r>
      <w:r w:rsidR="00915571" w:rsidRPr="002273B5">
        <w:rPr>
          <w:rFonts w:cs="Arial"/>
          <w:szCs w:val="22"/>
        </w:rPr>
        <w:t xml:space="preserve">Member of the </w:t>
      </w:r>
      <w:r w:rsidRPr="002273B5">
        <w:rPr>
          <w:rFonts w:cs="Arial"/>
          <w:szCs w:val="22"/>
        </w:rPr>
        <w:t>IBMS council</w:t>
      </w:r>
    </w:p>
    <w:p w14:paraId="33B4FEA7" w14:textId="25DB8CD7" w:rsidR="00FE40EE" w:rsidRPr="002273B5" w:rsidRDefault="00FE40EE" w:rsidP="00FE40EE">
      <w:pPr>
        <w:tabs>
          <w:tab w:val="left" w:pos="1620"/>
        </w:tabs>
        <w:spacing w:line="240" w:lineRule="exact"/>
        <w:jc w:val="both"/>
        <w:rPr>
          <w:rFonts w:cs="Arial"/>
          <w:i/>
          <w:szCs w:val="22"/>
        </w:rPr>
      </w:pPr>
      <w:r w:rsidRPr="002273B5">
        <w:rPr>
          <w:rFonts w:cs="Arial"/>
          <w:szCs w:val="22"/>
        </w:rPr>
        <w:t xml:space="preserve">2007-2021      Editorial Board </w:t>
      </w:r>
      <w:r w:rsidR="00915571" w:rsidRPr="002273B5">
        <w:rPr>
          <w:rFonts w:cs="Arial"/>
          <w:szCs w:val="22"/>
        </w:rPr>
        <w:t xml:space="preserve">Member </w:t>
      </w:r>
      <w:r w:rsidRPr="002273B5">
        <w:rPr>
          <w:rFonts w:cs="Arial"/>
          <w:szCs w:val="22"/>
        </w:rPr>
        <w:t xml:space="preserve">of </w:t>
      </w:r>
      <w:r w:rsidRPr="002273B5">
        <w:rPr>
          <w:rFonts w:cs="Arial"/>
          <w:i/>
          <w:szCs w:val="22"/>
        </w:rPr>
        <w:t>Bone</w:t>
      </w:r>
    </w:p>
    <w:p w14:paraId="09602DD4" w14:textId="77777777" w:rsidR="00FE40EE" w:rsidRPr="002273B5" w:rsidRDefault="00FE40EE" w:rsidP="00FE40EE">
      <w:pPr>
        <w:autoSpaceDE/>
        <w:autoSpaceDN/>
        <w:spacing w:line="240" w:lineRule="exact"/>
        <w:jc w:val="both"/>
        <w:rPr>
          <w:rFonts w:cs="Arial"/>
          <w:szCs w:val="22"/>
        </w:rPr>
      </w:pPr>
      <w:r w:rsidRPr="002273B5">
        <w:rPr>
          <w:rFonts w:cs="Arial"/>
          <w:szCs w:val="22"/>
        </w:rPr>
        <w:t>2005-present</w:t>
      </w:r>
      <w:r w:rsidRPr="002273B5">
        <w:rPr>
          <w:rFonts w:cs="Arial"/>
          <w:szCs w:val="22"/>
        </w:rPr>
        <w:tab/>
        <w:t>ASCI Member</w:t>
      </w:r>
    </w:p>
    <w:p w14:paraId="026893F4" w14:textId="081440BC" w:rsidR="006F07AD" w:rsidRPr="002273B5" w:rsidRDefault="00915571" w:rsidP="00915571">
      <w:pPr>
        <w:pStyle w:val="DataField11pt-Single"/>
        <w:spacing w:line="240" w:lineRule="exact"/>
        <w:jc w:val="both"/>
        <w:rPr>
          <w:rStyle w:val="Strong"/>
          <w:b w:val="0"/>
          <w:bCs w:val="0"/>
          <w:i/>
          <w:iCs/>
          <w:szCs w:val="22"/>
        </w:rPr>
      </w:pPr>
      <w:r w:rsidRPr="002273B5">
        <w:rPr>
          <w:szCs w:val="22"/>
        </w:rPr>
        <w:t>2004-2015</w:t>
      </w:r>
      <w:r w:rsidR="00FE40EE" w:rsidRPr="002273B5">
        <w:rPr>
          <w:szCs w:val="22"/>
        </w:rPr>
        <w:tab/>
      </w:r>
      <w:r w:rsidR="00203DD5" w:rsidRPr="002273B5">
        <w:rPr>
          <w:szCs w:val="22"/>
        </w:rPr>
        <w:tab/>
      </w:r>
      <w:r w:rsidR="00FE40EE" w:rsidRPr="002273B5">
        <w:rPr>
          <w:rStyle w:val="Strong"/>
          <w:b w:val="0"/>
          <w:bCs w:val="0"/>
          <w:szCs w:val="22"/>
        </w:rPr>
        <w:t xml:space="preserve">Editorial Board </w:t>
      </w:r>
      <w:r w:rsidRPr="002273B5">
        <w:rPr>
          <w:rStyle w:val="Strong"/>
          <w:b w:val="0"/>
          <w:bCs w:val="0"/>
          <w:szCs w:val="22"/>
        </w:rPr>
        <w:t xml:space="preserve">Member of </w:t>
      </w:r>
      <w:r w:rsidR="00FE40EE" w:rsidRPr="002273B5">
        <w:rPr>
          <w:rStyle w:val="Strong"/>
          <w:b w:val="0"/>
          <w:bCs w:val="0"/>
          <w:i/>
          <w:iCs/>
          <w:szCs w:val="22"/>
        </w:rPr>
        <w:t>Journal of Bone and Mineral Research</w:t>
      </w:r>
    </w:p>
    <w:p w14:paraId="0490ED8B" w14:textId="1A2D1DC5" w:rsidR="009B0968" w:rsidRPr="002273B5" w:rsidRDefault="0086410D" w:rsidP="009B0968">
      <w:pPr>
        <w:pStyle w:val="DataField11pt-Single"/>
        <w:spacing w:line="240" w:lineRule="exact"/>
        <w:jc w:val="both"/>
        <w:rPr>
          <w:i/>
          <w:szCs w:val="22"/>
        </w:rPr>
      </w:pPr>
      <w:r w:rsidRPr="002273B5">
        <w:rPr>
          <w:rStyle w:val="Strong"/>
          <w:b w:val="0"/>
          <w:bCs w:val="0"/>
          <w:szCs w:val="22"/>
        </w:rPr>
        <w:t>2002-2005</w:t>
      </w:r>
      <w:r w:rsidRPr="002273B5">
        <w:rPr>
          <w:rStyle w:val="Strong"/>
          <w:b w:val="0"/>
          <w:bCs w:val="0"/>
          <w:szCs w:val="22"/>
        </w:rPr>
        <w:tab/>
      </w:r>
      <w:r w:rsidRPr="002273B5">
        <w:rPr>
          <w:rStyle w:val="Strong"/>
          <w:b w:val="0"/>
          <w:bCs w:val="0"/>
          <w:szCs w:val="22"/>
        </w:rPr>
        <w:tab/>
      </w:r>
      <w:r w:rsidRPr="002273B5">
        <w:rPr>
          <w:szCs w:val="22"/>
        </w:rPr>
        <w:t xml:space="preserve">Editorial Board </w:t>
      </w:r>
      <w:r w:rsidR="00915571" w:rsidRPr="002273B5">
        <w:rPr>
          <w:szCs w:val="22"/>
        </w:rPr>
        <w:t xml:space="preserve">Member </w:t>
      </w:r>
      <w:r w:rsidRPr="002273B5">
        <w:rPr>
          <w:szCs w:val="22"/>
        </w:rPr>
        <w:t xml:space="preserve">of </w:t>
      </w:r>
      <w:r w:rsidRPr="002273B5">
        <w:rPr>
          <w:i/>
          <w:szCs w:val="22"/>
        </w:rPr>
        <w:t>Endocrinology</w:t>
      </w:r>
    </w:p>
    <w:p w14:paraId="623AE9FF" w14:textId="35D597FD" w:rsidR="009B0968" w:rsidRPr="002273B5" w:rsidRDefault="009B0968" w:rsidP="009B0968">
      <w:pPr>
        <w:pStyle w:val="DataField11pt-Single"/>
        <w:spacing w:line="240" w:lineRule="exact"/>
        <w:jc w:val="both"/>
        <w:rPr>
          <w:i/>
          <w:szCs w:val="22"/>
        </w:rPr>
      </w:pPr>
      <w:r w:rsidRPr="002273B5">
        <w:rPr>
          <w:szCs w:val="22"/>
        </w:rPr>
        <w:t xml:space="preserve">1996 </w:t>
      </w:r>
      <w:r w:rsidRPr="002273B5">
        <w:rPr>
          <w:szCs w:val="22"/>
        </w:rPr>
        <w:tab/>
      </w:r>
      <w:r w:rsidRPr="002273B5">
        <w:rPr>
          <w:szCs w:val="22"/>
        </w:rPr>
        <w:tab/>
      </w:r>
      <w:r w:rsidRPr="002273B5">
        <w:rPr>
          <w:szCs w:val="22"/>
        </w:rPr>
        <w:tab/>
        <w:t>Young Investigator Award (ASBMR)</w:t>
      </w:r>
    </w:p>
    <w:p w14:paraId="23BAFD6D" w14:textId="77777777" w:rsidR="009B0968" w:rsidRPr="002273B5" w:rsidRDefault="009B0968" w:rsidP="009B0968">
      <w:pPr>
        <w:numPr>
          <w:ilvl w:val="0"/>
          <w:numId w:val="25"/>
        </w:numPr>
        <w:tabs>
          <w:tab w:val="clear" w:pos="1800"/>
          <w:tab w:val="num" w:pos="1440"/>
        </w:tabs>
        <w:autoSpaceDE/>
        <w:autoSpaceDN/>
        <w:spacing w:line="240" w:lineRule="exact"/>
        <w:ind w:left="0" w:firstLine="0"/>
        <w:jc w:val="both"/>
        <w:rPr>
          <w:rFonts w:cs="Arial"/>
          <w:szCs w:val="22"/>
        </w:rPr>
      </w:pPr>
      <w:r w:rsidRPr="002273B5">
        <w:rPr>
          <w:rFonts w:cs="Arial"/>
          <w:szCs w:val="22"/>
        </w:rPr>
        <w:t>Travel Award of the International Conference On Calcium Regulating Hormones</w:t>
      </w:r>
    </w:p>
    <w:p w14:paraId="39D63EAE" w14:textId="7E569FA1" w:rsidR="0086410D" w:rsidRPr="002273B5" w:rsidRDefault="00861A7C" w:rsidP="00861A7C">
      <w:pPr>
        <w:pStyle w:val="DataField11pt-Single"/>
        <w:spacing w:line="240" w:lineRule="exact"/>
        <w:jc w:val="both"/>
        <w:rPr>
          <w:szCs w:val="22"/>
        </w:rPr>
      </w:pPr>
      <w:r>
        <w:rPr>
          <w:szCs w:val="22"/>
        </w:rPr>
        <w:t>1989</w:t>
      </w:r>
      <w:r w:rsidR="009B0968" w:rsidRPr="002273B5">
        <w:rPr>
          <w:szCs w:val="22"/>
        </w:rPr>
        <w:tab/>
      </w:r>
      <w:r>
        <w:rPr>
          <w:szCs w:val="22"/>
        </w:rPr>
        <w:tab/>
      </w:r>
      <w:r>
        <w:rPr>
          <w:szCs w:val="22"/>
        </w:rPr>
        <w:tab/>
      </w:r>
      <w:r w:rsidR="009B0968" w:rsidRPr="002273B5">
        <w:rPr>
          <w:szCs w:val="22"/>
        </w:rPr>
        <w:t>PhD Summa Cum Laude</w:t>
      </w:r>
    </w:p>
    <w:p w14:paraId="789895BD" w14:textId="5C36D8C0" w:rsidR="006F07AD" w:rsidRPr="002273B5" w:rsidRDefault="00861A7C" w:rsidP="00861A7C">
      <w:pPr>
        <w:pStyle w:val="DataField11pt-Single"/>
        <w:rPr>
          <w:rStyle w:val="Strong"/>
          <w:b w:val="0"/>
          <w:bCs w:val="0"/>
          <w:szCs w:val="22"/>
        </w:rPr>
      </w:pPr>
      <w:r>
        <w:rPr>
          <w:rStyle w:val="Strong"/>
          <w:b w:val="0"/>
          <w:bCs w:val="0"/>
          <w:szCs w:val="22"/>
        </w:rPr>
        <w:t>1985</w:t>
      </w:r>
      <w:r>
        <w:rPr>
          <w:rStyle w:val="Strong"/>
          <w:b w:val="0"/>
          <w:bCs w:val="0"/>
          <w:szCs w:val="22"/>
        </w:rPr>
        <w:tab/>
      </w:r>
      <w:r>
        <w:rPr>
          <w:rStyle w:val="Strong"/>
          <w:b w:val="0"/>
          <w:bCs w:val="0"/>
          <w:szCs w:val="22"/>
        </w:rPr>
        <w:tab/>
      </w:r>
      <w:r w:rsidR="001C2910" w:rsidRPr="002273B5">
        <w:rPr>
          <w:rStyle w:val="Strong"/>
          <w:b w:val="0"/>
          <w:bCs w:val="0"/>
          <w:szCs w:val="22"/>
        </w:rPr>
        <w:tab/>
        <w:t>MD Summa Cum Laude</w:t>
      </w:r>
    </w:p>
    <w:p w14:paraId="4E6033BE" w14:textId="77777777" w:rsidR="002C51BC" w:rsidRPr="002273B5" w:rsidRDefault="002C51BC" w:rsidP="002C51BC">
      <w:pPr>
        <w:pStyle w:val="DataField11pt-Single"/>
        <w:rPr>
          <w:rStyle w:val="Strong"/>
          <w:szCs w:val="22"/>
        </w:rPr>
      </w:pPr>
    </w:p>
    <w:p w14:paraId="6C6584FA" w14:textId="6AE3396A" w:rsidR="009B6CA0" w:rsidRDefault="002C51BC" w:rsidP="001870CF">
      <w:pPr>
        <w:pStyle w:val="DataField11pt-Single"/>
        <w:rPr>
          <w:szCs w:val="22"/>
        </w:rPr>
      </w:pPr>
      <w:r w:rsidRPr="002273B5">
        <w:rPr>
          <w:rStyle w:val="Strong"/>
          <w:szCs w:val="22"/>
        </w:rPr>
        <w:t>C.</w:t>
      </w:r>
      <w:r w:rsidRPr="002273B5">
        <w:rPr>
          <w:rStyle w:val="Strong"/>
          <w:szCs w:val="22"/>
        </w:rPr>
        <w:tab/>
        <w:t>Contributions to Science</w:t>
      </w:r>
      <w:r w:rsidR="0033187B" w:rsidRPr="002273B5">
        <w:rPr>
          <w:rStyle w:val="Strong"/>
          <w:szCs w:val="22"/>
        </w:rPr>
        <w:t xml:space="preserve"> (&gt;150 publications</w:t>
      </w:r>
      <w:r w:rsidR="00762E18">
        <w:rPr>
          <w:rStyle w:val="Strong"/>
          <w:szCs w:val="22"/>
        </w:rPr>
        <w:t xml:space="preserve">, </w:t>
      </w:r>
      <w:r w:rsidR="00762E18" w:rsidRPr="00762E18">
        <w:rPr>
          <w:rStyle w:val="Strong"/>
          <w:i/>
          <w:szCs w:val="22"/>
        </w:rPr>
        <w:t>h</w:t>
      </w:r>
      <w:r w:rsidR="00762E18">
        <w:rPr>
          <w:rStyle w:val="Strong"/>
          <w:szCs w:val="22"/>
        </w:rPr>
        <w:t xml:space="preserve"> index </w:t>
      </w:r>
      <w:r w:rsidR="00555C7B">
        <w:rPr>
          <w:rStyle w:val="Strong"/>
          <w:szCs w:val="22"/>
          <w:u w:val="single"/>
        </w:rPr>
        <w:t>7</w:t>
      </w:r>
      <w:r w:rsidR="004A344A">
        <w:rPr>
          <w:rStyle w:val="Strong"/>
          <w:szCs w:val="22"/>
          <w:u w:val="single"/>
        </w:rPr>
        <w:t>3</w:t>
      </w:r>
      <w:r w:rsidR="0033187B" w:rsidRPr="002273B5">
        <w:rPr>
          <w:rStyle w:val="Strong"/>
          <w:szCs w:val="22"/>
        </w:rPr>
        <w:t>)</w:t>
      </w:r>
      <w:r w:rsidR="00FE10AD" w:rsidRPr="002273B5">
        <w:rPr>
          <w:rStyle w:val="Strong"/>
          <w:szCs w:val="22"/>
        </w:rPr>
        <w:br/>
      </w:r>
      <w:r w:rsidR="001870CF" w:rsidRPr="00EB16FB">
        <w:rPr>
          <w:b/>
          <w:bCs/>
          <w:szCs w:val="22"/>
        </w:rPr>
        <w:t>1</w:t>
      </w:r>
      <w:r w:rsidR="001870CF">
        <w:rPr>
          <w:szCs w:val="22"/>
        </w:rPr>
        <w:t>.</w:t>
      </w:r>
      <w:r w:rsidR="009B6CA0">
        <w:rPr>
          <w:szCs w:val="22"/>
        </w:rPr>
        <w:t xml:space="preserve"> </w:t>
      </w:r>
      <w:r w:rsidR="009B6CA0" w:rsidRPr="009B6CA0">
        <w:rPr>
          <w:b/>
          <w:bCs/>
          <w:szCs w:val="22"/>
          <w:u w:val="single"/>
        </w:rPr>
        <w:t>The PTH/PTHrP receptor in development and disease</w:t>
      </w:r>
    </w:p>
    <w:p w14:paraId="5F3AE4BF" w14:textId="77777777" w:rsidR="00883C71" w:rsidRDefault="00E469D4" w:rsidP="001870CF">
      <w:pPr>
        <w:pStyle w:val="DataField11pt-Single"/>
        <w:rPr>
          <w:szCs w:val="22"/>
        </w:rPr>
      </w:pPr>
      <w:r w:rsidRPr="001870CF">
        <w:rPr>
          <w:szCs w:val="22"/>
        </w:rPr>
        <w:t xml:space="preserve">I cloned the human </w:t>
      </w:r>
      <w:r w:rsidR="00767091" w:rsidRPr="001870CF">
        <w:rPr>
          <w:szCs w:val="22"/>
        </w:rPr>
        <w:t xml:space="preserve">receptor for PTH and PTHrP (PTH/PTHrP receptor) </w:t>
      </w:r>
      <w:r w:rsidRPr="001870CF">
        <w:rPr>
          <w:szCs w:val="22"/>
        </w:rPr>
        <w:t>and its gene</w:t>
      </w:r>
      <w:r w:rsidR="007D6D24" w:rsidRPr="001870CF">
        <w:rPr>
          <w:szCs w:val="22"/>
        </w:rPr>
        <w:t>, and I</w:t>
      </w:r>
      <w:r w:rsidRPr="001870CF">
        <w:rPr>
          <w:szCs w:val="22"/>
        </w:rPr>
        <w:t xml:space="preserve"> solved a long-lingering question in the field by proving that the PTH/PTHrP receptors expressed in bone and kidney are identical proteins. </w:t>
      </w:r>
    </w:p>
    <w:p w14:paraId="604E3991" w14:textId="71A1976B" w:rsidR="00E469D4" w:rsidRPr="00390078" w:rsidRDefault="00E469D4" w:rsidP="001870CF">
      <w:pPr>
        <w:pStyle w:val="DataField11pt-Single"/>
        <w:rPr>
          <w:szCs w:val="22"/>
        </w:rPr>
      </w:pPr>
      <w:r w:rsidRPr="001870CF">
        <w:rPr>
          <w:szCs w:val="22"/>
        </w:rPr>
        <w:t xml:space="preserve">Next, I discovered that gain-of-function mutations of the PTH/PTHrP receptor result in Jansen Metaphyseal Chondrodysplasia, a severe form of short-limbed dwarfism associated to hypercalcemia. Jansen Metaphyseal Chondrodysplasia has been one of the first examples in the literature of a human disease being caused by a constitutively active G-protein coupled receptor. </w:t>
      </w:r>
      <w:r w:rsidR="00390078" w:rsidRPr="00390078">
        <w:rPr>
          <w:szCs w:val="22"/>
        </w:rPr>
        <w:t>Building on the mutations I identified in patients, I generated transgenic mice expressing a constitutively active PTH/PTHrP receptor (Jansen receptor) in chondrocytes and osteoblasts, respectively. These transgenic models have significantly advanced our understanding of the PTH/PTHrP receptor's role in cartilage and bone development, homeostasis, and hematopoiesis. Notably, my research demonstrated that expression of the Jansen receptor in chondrocytes markedly delays the terminal hypertrophic differentiation of these cells, likely explaining the severe dwarfism observed in Jansen patients. Additionally, by expressing the Jansen receptor in cells of the osteoblast lineage, I established that the osteoblastic PTH/PTHrP receptor is a key mediator of both the bone-forming and bone-resorbing actions of PTH.</w:t>
      </w:r>
      <w:r w:rsidR="00390078">
        <w:rPr>
          <w:szCs w:val="22"/>
        </w:rPr>
        <w:t xml:space="preserve"> </w:t>
      </w:r>
      <w:r w:rsidR="00390078" w:rsidRPr="00390078">
        <w:rPr>
          <w:szCs w:val="22"/>
        </w:rPr>
        <w:t>Currently, I am collaborating with my former mentor, Dr. Harald Jueppner, to explore potential therapeutic approaches for the treatment of Jansen patients.</w:t>
      </w:r>
    </w:p>
    <w:p w14:paraId="7DC077C4" w14:textId="28CD4C78" w:rsidR="00E469D4" w:rsidRPr="001870CF" w:rsidRDefault="001870CF" w:rsidP="001870CF">
      <w:pPr>
        <w:pStyle w:val="ListParagraph"/>
        <w:spacing w:line="240" w:lineRule="exact"/>
        <w:ind w:left="0"/>
        <w:jc w:val="both"/>
        <w:rPr>
          <w:rFonts w:cs="Arial"/>
          <w:szCs w:val="22"/>
        </w:rPr>
      </w:pPr>
      <w:r w:rsidRPr="002E4000">
        <w:rPr>
          <w:rFonts w:cs="Arial"/>
          <w:b/>
          <w:szCs w:val="22"/>
        </w:rPr>
        <w:t>a.</w:t>
      </w:r>
      <w:r w:rsidR="00E469D4" w:rsidRPr="002273B5">
        <w:rPr>
          <w:rFonts w:cs="Arial"/>
          <w:b/>
          <w:szCs w:val="22"/>
        </w:rPr>
        <w:t>Schipani E</w:t>
      </w:r>
      <w:r w:rsidR="00E469D4" w:rsidRPr="002273B5">
        <w:rPr>
          <w:rFonts w:cs="Arial"/>
          <w:szCs w:val="22"/>
        </w:rPr>
        <w:t xml:space="preserve">, Karga H, Karaplis AC, Potts JT Jr, Kronenberg HM, Segre GV, Abou-Samra AB, Jüppner H.  Identical complementary deoxyribonucleic acids encode a human renal and bone parathyroid hormone (PTH)/PTH-related peptide receptor.  </w:t>
      </w:r>
      <w:r w:rsidR="00E469D4" w:rsidRPr="002273B5">
        <w:rPr>
          <w:rFonts w:cs="Arial"/>
          <w:b/>
          <w:szCs w:val="22"/>
        </w:rPr>
        <w:t>Endocrinology 1993</w:t>
      </w:r>
      <w:r w:rsidR="00E469D4" w:rsidRPr="002273B5">
        <w:rPr>
          <w:rFonts w:cs="Arial"/>
          <w:szCs w:val="22"/>
        </w:rPr>
        <w:t>;132(5):2157-2165.</w:t>
      </w:r>
    </w:p>
    <w:p w14:paraId="427950D5" w14:textId="77777777" w:rsidR="00390078" w:rsidRDefault="00390078" w:rsidP="00390078">
      <w:pPr>
        <w:pStyle w:val="ListParagraph"/>
        <w:spacing w:line="240" w:lineRule="exact"/>
        <w:ind w:left="0"/>
        <w:jc w:val="both"/>
        <w:rPr>
          <w:rFonts w:cs="Arial"/>
          <w:szCs w:val="22"/>
        </w:rPr>
      </w:pPr>
      <w:r>
        <w:rPr>
          <w:rFonts w:cs="Arial"/>
          <w:b/>
          <w:szCs w:val="22"/>
        </w:rPr>
        <w:t>b</w:t>
      </w:r>
      <w:r w:rsidR="001870CF" w:rsidRPr="001870CF">
        <w:rPr>
          <w:rFonts w:cs="Arial"/>
          <w:bCs/>
          <w:szCs w:val="22"/>
        </w:rPr>
        <w:t>.</w:t>
      </w:r>
      <w:r w:rsidR="00E469D4" w:rsidRPr="002273B5">
        <w:rPr>
          <w:rFonts w:cs="Arial"/>
          <w:b/>
          <w:szCs w:val="22"/>
        </w:rPr>
        <w:t>Schipani E</w:t>
      </w:r>
      <w:r w:rsidR="00E469D4" w:rsidRPr="002273B5">
        <w:rPr>
          <w:rFonts w:cs="Arial"/>
          <w:szCs w:val="22"/>
        </w:rPr>
        <w:t>, Kruse K, Jüppner H. A constitutively active mutant PTH/PTHrP receptor in Jansen type metaphyseal chondrodysplasia.</w:t>
      </w:r>
      <w:r w:rsidR="00E469D4" w:rsidRPr="002273B5">
        <w:rPr>
          <w:rFonts w:cs="Arial"/>
          <w:b/>
          <w:szCs w:val="22"/>
        </w:rPr>
        <w:t xml:space="preserve"> Science </w:t>
      </w:r>
      <w:r w:rsidR="00E469D4" w:rsidRPr="002273B5">
        <w:rPr>
          <w:rFonts w:cs="Arial"/>
          <w:szCs w:val="22"/>
        </w:rPr>
        <w:t>1995; 268:98-100.</w:t>
      </w:r>
    </w:p>
    <w:p w14:paraId="64D96870" w14:textId="48CBF905" w:rsidR="00390078" w:rsidRDefault="00390078" w:rsidP="00390078">
      <w:pPr>
        <w:pStyle w:val="ListParagraph"/>
        <w:spacing w:line="240" w:lineRule="exact"/>
        <w:ind w:left="0"/>
        <w:jc w:val="both"/>
        <w:rPr>
          <w:rFonts w:cs="Arial"/>
          <w:szCs w:val="22"/>
        </w:rPr>
      </w:pPr>
      <w:r>
        <w:rPr>
          <w:rFonts w:cs="Arial"/>
          <w:b/>
          <w:szCs w:val="22"/>
        </w:rPr>
        <w:t>c.</w:t>
      </w:r>
      <w:r w:rsidRPr="00390078">
        <w:rPr>
          <w:rFonts w:cs="Arial"/>
          <w:b/>
          <w:szCs w:val="22"/>
        </w:rPr>
        <w:t>Schipani E</w:t>
      </w:r>
      <w:r w:rsidRPr="00390078">
        <w:rPr>
          <w:rFonts w:cs="Arial"/>
          <w:szCs w:val="22"/>
        </w:rPr>
        <w:t xml:space="preserve">, Lanske B, Hunzelman J, Luz A, Kovacs CS, Lee K, Pirro A, Kronenberg HM, Jüppner H.  Targeted expression of constitutively active receptors for parathyroid hormone and parathyroid hormone-related peptide delays endochondral bone formation and rescues mice that lack parathyroid hormone-related peptide. </w:t>
      </w:r>
      <w:r w:rsidRPr="00390078">
        <w:rPr>
          <w:rFonts w:cs="Arial"/>
          <w:b/>
          <w:szCs w:val="22"/>
        </w:rPr>
        <w:t xml:space="preserve">Proc Natl Acad Sci USA </w:t>
      </w:r>
      <w:r w:rsidRPr="00390078">
        <w:rPr>
          <w:rFonts w:cs="Arial"/>
          <w:szCs w:val="22"/>
        </w:rPr>
        <w:t xml:space="preserve">1997; 94:13689-94. </w:t>
      </w:r>
    </w:p>
    <w:p w14:paraId="1B69C5C4" w14:textId="541D05F6" w:rsidR="00E469D4" w:rsidRDefault="00390078" w:rsidP="00E469D4">
      <w:pPr>
        <w:pStyle w:val="ListParagraph"/>
        <w:spacing w:line="240" w:lineRule="exact"/>
        <w:ind w:left="0"/>
        <w:jc w:val="both"/>
        <w:rPr>
          <w:rFonts w:cs="Arial"/>
          <w:szCs w:val="22"/>
        </w:rPr>
      </w:pPr>
      <w:r w:rsidRPr="00390078">
        <w:rPr>
          <w:rFonts w:cs="Arial"/>
          <w:b/>
          <w:bCs/>
          <w:szCs w:val="22"/>
        </w:rPr>
        <w:t>d</w:t>
      </w:r>
      <w:r>
        <w:rPr>
          <w:rFonts w:cs="Arial"/>
          <w:szCs w:val="22"/>
        </w:rPr>
        <w:t>.</w:t>
      </w:r>
      <w:r w:rsidRPr="00390078">
        <w:rPr>
          <w:rFonts w:cs="Arial"/>
          <w:szCs w:val="22"/>
        </w:rPr>
        <w:t xml:space="preserve">Calvi ML, Sims NA, Hunzelman JL, Knight MC, Giovannetti A, Saxton JM, Kronenberg HM, Baron H, </w:t>
      </w:r>
      <w:r w:rsidRPr="00390078">
        <w:rPr>
          <w:rFonts w:cs="Arial"/>
          <w:b/>
          <w:szCs w:val="22"/>
        </w:rPr>
        <w:t>Schipani E</w:t>
      </w:r>
      <w:r w:rsidRPr="00390078">
        <w:rPr>
          <w:rFonts w:cs="Arial"/>
          <w:szCs w:val="22"/>
        </w:rPr>
        <w:t xml:space="preserve">. Activated parathyroid hormone/parathyroid hormone-related protein receptor in osteoblastic cells differentially affects cortical and trabecular bone. </w:t>
      </w:r>
      <w:r w:rsidRPr="00390078">
        <w:rPr>
          <w:rFonts w:cs="Arial"/>
          <w:b/>
          <w:szCs w:val="22"/>
        </w:rPr>
        <w:t xml:space="preserve">J Clin Invest </w:t>
      </w:r>
      <w:r w:rsidRPr="00390078">
        <w:rPr>
          <w:rFonts w:cs="Arial"/>
          <w:szCs w:val="22"/>
        </w:rPr>
        <w:t>2001; 107: 277-286 (</w:t>
      </w:r>
      <w:r w:rsidRPr="00390078">
        <w:rPr>
          <w:rFonts w:cs="Arial"/>
          <w:b/>
          <w:szCs w:val="22"/>
        </w:rPr>
        <w:t>Featured paper</w:t>
      </w:r>
      <w:r w:rsidRPr="00390078">
        <w:rPr>
          <w:rFonts w:cs="Arial"/>
          <w:szCs w:val="22"/>
        </w:rPr>
        <w:t xml:space="preserve">). </w:t>
      </w:r>
    </w:p>
    <w:p w14:paraId="69E8F727" w14:textId="77777777" w:rsidR="009B6CA0" w:rsidRPr="009B6CA0" w:rsidRDefault="009B6CA0" w:rsidP="00E469D4">
      <w:pPr>
        <w:pStyle w:val="ListParagraph"/>
        <w:spacing w:line="240" w:lineRule="exact"/>
        <w:ind w:left="0"/>
        <w:jc w:val="both"/>
        <w:rPr>
          <w:rFonts w:cs="Arial"/>
          <w:szCs w:val="22"/>
        </w:rPr>
      </w:pPr>
    </w:p>
    <w:p w14:paraId="52ADD806" w14:textId="7AEF1227" w:rsidR="00883C71" w:rsidRPr="00883C71" w:rsidRDefault="00390078" w:rsidP="00883C71">
      <w:pPr>
        <w:widowControl w:val="0"/>
        <w:tabs>
          <w:tab w:val="left" w:pos="270"/>
        </w:tabs>
        <w:adjustRightInd w:val="0"/>
        <w:spacing w:line="240" w:lineRule="exact"/>
        <w:jc w:val="both"/>
        <w:rPr>
          <w:rFonts w:cs="Arial"/>
          <w:b/>
          <w:bCs/>
          <w:szCs w:val="22"/>
          <w:u w:val="single"/>
        </w:rPr>
      </w:pPr>
      <w:r w:rsidRPr="00EB16FB">
        <w:rPr>
          <w:rFonts w:cs="Arial"/>
          <w:b/>
          <w:bCs/>
          <w:szCs w:val="22"/>
        </w:rPr>
        <w:t>2</w:t>
      </w:r>
      <w:r w:rsidR="007F06BE">
        <w:rPr>
          <w:rFonts w:cs="Arial"/>
          <w:szCs w:val="22"/>
        </w:rPr>
        <w:t>.</w:t>
      </w:r>
      <w:r w:rsidR="00883C71" w:rsidRPr="00883C71">
        <w:rPr>
          <w:rFonts w:eastAsiaTheme="minorHAnsi" w:cs="Arial"/>
          <w:b/>
          <w:bCs/>
          <w:kern w:val="2"/>
          <w:szCs w:val="22"/>
          <w:u w:val="single"/>
          <w14:ligatures w14:val="standardContextual"/>
        </w:rPr>
        <w:t xml:space="preserve"> </w:t>
      </w:r>
      <w:r w:rsidR="00883C71" w:rsidRPr="00883C71">
        <w:rPr>
          <w:rFonts w:cs="Arial"/>
          <w:b/>
          <w:bCs/>
          <w:szCs w:val="22"/>
          <w:u w:val="single"/>
        </w:rPr>
        <w:t>HIF-1 and the reprogramming of metabolism in endochondral bone development</w:t>
      </w:r>
    </w:p>
    <w:p w14:paraId="72455071" w14:textId="77777777" w:rsidR="00883C71" w:rsidRPr="00883C71" w:rsidRDefault="00883C71" w:rsidP="00883C71">
      <w:pPr>
        <w:widowControl w:val="0"/>
        <w:tabs>
          <w:tab w:val="left" w:pos="270"/>
        </w:tabs>
        <w:adjustRightInd w:val="0"/>
        <w:spacing w:line="240" w:lineRule="exact"/>
        <w:jc w:val="both"/>
        <w:rPr>
          <w:rFonts w:cs="Arial"/>
          <w:szCs w:val="22"/>
        </w:rPr>
      </w:pPr>
      <w:r w:rsidRPr="00883C71">
        <w:rPr>
          <w:rFonts w:cs="Arial"/>
          <w:szCs w:val="22"/>
        </w:rPr>
        <w:t xml:space="preserve">While studying the fetal growth plate, we became intrigued by its avascular nature, which led us to uncover the critical role of hypoxia-signaling pathways in skeletal development. Oxygen, beyond being a vital metabolic substrate, also functions as a key regulatory signal. We were among the first to propose that oxygen gradients are essential for tissue morphogenesis during skeletal development. Through our research, we discovered that the murine fetal growth plate exhibits a gradient of oxygenation, with a hypoxic core region. To further investigate, we developed the first conditional knockout model of hypoxia-inducible factor-1 alpha (HIF-1), providing definitive evidence that HIF-1 acts as a survival factor for hypoxic chondrocytes in the growth plate in vivo. The role of HIF-1 as a survival factor has since been confirmed in a variety of settings, including cancer models. We also established that HIF-1 is crucial for the timely differentiation of mesenchymal cells into chondrocytes and for joint development in vivo. Furthermore, we provided genetic evidence that vascular endothelial growth factor (VEGF)—a classical downstream target of HIF-1 and a known survival factor for chondrocytes—plays only a modest role in mediating HIF-1’s survival function in cartilage. Instead, we showed that HIF-1-dependent </w:t>
      </w:r>
      <w:r w:rsidRPr="00883C71">
        <w:rPr>
          <w:rFonts w:cs="Arial"/>
          <w:szCs w:val="22"/>
        </w:rPr>
        <w:lastRenderedPageBreak/>
        <w:t>metabolic reprogramming is a critical downstream mechanism supporting chondrocyte survival and differentiation. Notably, we demonstrated that HIF-1 reduces mitochondrial respiration and oxygen consumption in growth plate chondrocytes, a key adaptation ensuring their survival and proper differentiation under hypoxic conditions. Currently, we are investigating how the interplay between oxidative phosphorylation and HIF-1-mediated metabolic reprogramming governs skeletal development.</w:t>
      </w:r>
    </w:p>
    <w:p w14:paraId="213DA0A1" w14:textId="682BFF53" w:rsidR="007F06BE" w:rsidRPr="007F06BE" w:rsidRDefault="007F06BE" w:rsidP="00883C71">
      <w:pPr>
        <w:widowControl w:val="0"/>
        <w:tabs>
          <w:tab w:val="left" w:pos="270"/>
        </w:tabs>
        <w:adjustRightInd w:val="0"/>
        <w:spacing w:line="240" w:lineRule="exact"/>
        <w:jc w:val="both"/>
        <w:rPr>
          <w:rFonts w:cs="Arial"/>
          <w:b/>
          <w:szCs w:val="22"/>
        </w:rPr>
      </w:pPr>
      <w:r>
        <w:rPr>
          <w:rFonts w:cs="Arial"/>
          <w:b/>
          <w:szCs w:val="22"/>
        </w:rPr>
        <w:t>a.</w:t>
      </w:r>
      <w:r w:rsidR="00E469D4" w:rsidRPr="007F06BE">
        <w:rPr>
          <w:rFonts w:cs="Arial"/>
          <w:b/>
          <w:szCs w:val="22"/>
        </w:rPr>
        <w:t>Schipani</w:t>
      </w:r>
      <w:r w:rsidR="00E469D4" w:rsidRPr="007F06BE">
        <w:rPr>
          <w:rFonts w:cs="Arial"/>
          <w:b/>
          <w:szCs w:val="22"/>
          <w:vertAlign w:val="superscript"/>
        </w:rPr>
        <w:t xml:space="preserve"> </w:t>
      </w:r>
      <w:r w:rsidR="00E469D4" w:rsidRPr="007F06BE">
        <w:rPr>
          <w:rFonts w:cs="Arial"/>
          <w:b/>
          <w:szCs w:val="22"/>
        </w:rPr>
        <w:t>E</w:t>
      </w:r>
      <w:r w:rsidR="00E469D4" w:rsidRPr="007F06BE">
        <w:rPr>
          <w:rFonts w:cs="Arial"/>
          <w:szCs w:val="22"/>
        </w:rPr>
        <w:t>, Ryan</w:t>
      </w:r>
      <w:r w:rsidR="00E469D4" w:rsidRPr="007F06BE">
        <w:rPr>
          <w:rFonts w:cs="Arial"/>
          <w:szCs w:val="22"/>
          <w:vertAlign w:val="superscript"/>
        </w:rPr>
        <w:t xml:space="preserve"> </w:t>
      </w:r>
      <w:r w:rsidR="00E469D4" w:rsidRPr="007F06BE">
        <w:rPr>
          <w:rFonts w:cs="Arial"/>
          <w:szCs w:val="22"/>
        </w:rPr>
        <w:t>HE, Didrickson S, Kobayashi</w:t>
      </w:r>
      <w:r w:rsidR="00E469D4" w:rsidRPr="007F06BE">
        <w:rPr>
          <w:rFonts w:cs="Arial"/>
          <w:szCs w:val="22"/>
          <w:vertAlign w:val="superscript"/>
        </w:rPr>
        <w:t xml:space="preserve"> </w:t>
      </w:r>
      <w:r w:rsidR="00E469D4" w:rsidRPr="007F06BE">
        <w:rPr>
          <w:rFonts w:cs="Arial"/>
          <w:szCs w:val="22"/>
        </w:rPr>
        <w:t>T, Knight</w:t>
      </w:r>
      <w:r w:rsidR="00E469D4" w:rsidRPr="007F06BE">
        <w:rPr>
          <w:rFonts w:cs="Arial"/>
          <w:szCs w:val="22"/>
          <w:vertAlign w:val="superscript"/>
        </w:rPr>
        <w:t xml:space="preserve">  </w:t>
      </w:r>
      <w:r w:rsidR="00E469D4" w:rsidRPr="007F06BE">
        <w:rPr>
          <w:rFonts w:cs="Arial"/>
          <w:szCs w:val="22"/>
        </w:rPr>
        <w:t>M and Johnson RS.</w:t>
      </w:r>
      <w:r w:rsidR="00E469D4" w:rsidRPr="007F06BE">
        <w:rPr>
          <w:rFonts w:cs="Arial"/>
          <w:szCs w:val="22"/>
          <w:vertAlign w:val="subscript"/>
        </w:rPr>
        <w:t xml:space="preserve">. </w:t>
      </w:r>
      <w:r w:rsidR="00E469D4" w:rsidRPr="007F06BE">
        <w:rPr>
          <w:rFonts w:cs="Arial"/>
          <w:szCs w:val="22"/>
        </w:rPr>
        <w:t xml:space="preserve">Hypoxia in cartilage: HIF-1a is essential for chondrocyte growth arrest and survival. </w:t>
      </w:r>
      <w:r w:rsidR="00E469D4" w:rsidRPr="007F06BE">
        <w:rPr>
          <w:rFonts w:cs="Arial"/>
          <w:b/>
          <w:szCs w:val="22"/>
        </w:rPr>
        <w:t>Genes Dev 2001</w:t>
      </w:r>
      <w:r w:rsidR="00E469D4" w:rsidRPr="007F06BE">
        <w:rPr>
          <w:rFonts w:cs="Arial"/>
          <w:szCs w:val="22"/>
        </w:rPr>
        <w:t>; 15: 2865-2876. (</w:t>
      </w:r>
      <w:r w:rsidR="00E469D4" w:rsidRPr="007F06BE">
        <w:rPr>
          <w:rFonts w:cs="Arial"/>
          <w:b/>
          <w:i/>
          <w:szCs w:val="22"/>
        </w:rPr>
        <w:t>Discussion on this paper in a “Research Roundup “ in Journal of Cell Biology, 2001, 155, 693</w:t>
      </w:r>
      <w:r w:rsidR="00E469D4" w:rsidRPr="007F06BE">
        <w:rPr>
          <w:rFonts w:cs="Arial"/>
          <w:szCs w:val="22"/>
        </w:rPr>
        <w:t>).</w:t>
      </w:r>
      <w:r w:rsidR="00E469D4" w:rsidRPr="007F06BE">
        <w:rPr>
          <w:rFonts w:cs="Arial"/>
          <w:color w:val="000000" w:themeColor="text1"/>
          <w:szCs w:val="22"/>
        </w:rPr>
        <w:t xml:space="preserve"> </w:t>
      </w:r>
    </w:p>
    <w:p w14:paraId="766EA894" w14:textId="13E71B77" w:rsidR="007F06BE" w:rsidRPr="007F06BE" w:rsidRDefault="007F06BE" w:rsidP="007F06BE">
      <w:pPr>
        <w:pStyle w:val="ListParagraph"/>
        <w:widowControl w:val="0"/>
        <w:tabs>
          <w:tab w:val="left" w:pos="270"/>
        </w:tabs>
        <w:adjustRightInd w:val="0"/>
        <w:spacing w:line="240" w:lineRule="exact"/>
        <w:ind w:left="0"/>
        <w:rPr>
          <w:rFonts w:cs="Arial"/>
          <w:b/>
          <w:i/>
          <w:szCs w:val="22"/>
        </w:rPr>
      </w:pPr>
      <w:r>
        <w:rPr>
          <w:rFonts w:cs="Arial"/>
          <w:b/>
          <w:szCs w:val="22"/>
        </w:rPr>
        <w:t>b.</w:t>
      </w:r>
      <w:r w:rsidR="00E469D4" w:rsidRPr="007F06BE">
        <w:rPr>
          <w:rFonts w:cs="Arial"/>
          <w:szCs w:val="22"/>
        </w:rPr>
        <w:t xml:space="preserve">Provot S, Zinyk D, Gunes Y, Khatri R, Le Q, Longaker MT, Giaccia AJ, </w:t>
      </w:r>
      <w:r w:rsidR="00E469D4" w:rsidRPr="007F06BE">
        <w:rPr>
          <w:rFonts w:cs="Arial"/>
          <w:b/>
          <w:szCs w:val="22"/>
        </w:rPr>
        <w:t>Schipani E</w:t>
      </w:r>
      <w:r w:rsidR="00E469D4" w:rsidRPr="007F06BE">
        <w:rPr>
          <w:rFonts w:cs="Arial"/>
          <w:szCs w:val="22"/>
        </w:rPr>
        <w:t xml:space="preserve">. Hif-1a regulates differentiation of limb bud mesenchyme and joint development. </w:t>
      </w:r>
      <w:r w:rsidR="00E469D4" w:rsidRPr="007F06BE">
        <w:rPr>
          <w:rFonts w:cs="Arial"/>
          <w:b/>
          <w:szCs w:val="22"/>
        </w:rPr>
        <w:t xml:space="preserve">J Cell Biol 2007; </w:t>
      </w:r>
      <w:r w:rsidR="00E469D4" w:rsidRPr="007F06BE">
        <w:rPr>
          <w:rFonts w:cs="Arial"/>
          <w:szCs w:val="22"/>
        </w:rPr>
        <w:t>177:451-464 (</w:t>
      </w:r>
      <w:r w:rsidR="00E469D4" w:rsidRPr="007F06BE">
        <w:rPr>
          <w:rFonts w:cs="Arial"/>
          <w:b/>
          <w:i/>
          <w:szCs w:val="22"/>
        </w:rPr>
        <w:t>Cover Figure and Commentary in the same issue</w:t>
      </w:r>
      <w:r w:rsidR="00E469D4" w:rsidRPr="007F06BE">
        <w:rPr>
          <w:rFonts w:cs="Arial"/>
          <w:szCs w:val="22"/>
        </w:rPr>
        <w:t>).</w:t>
      </w:r>
      <w:r w:rsidR="00E469D4" w:rsidRPr="007F06BE">
        <w:rPr>
          <w:rFonts w:cs="Arial"/>
          <w:color w:val="454545"/>
          <w:szCs w:val="22"/>
        </w:rPr>
        <w:t xml:space="preserve"> </w:t>
      </w:r>
    </w:p>
    <w:p w14:paraId="391EF112" w14:textId="13365BDE" w:rsidR="00E469D4" w:rsidRDefault="007F06BE" w:rsidP="007F06BE">
      <w:pPr>
        <w:pStyle w:val="ListParagraph"/>
        <w:widowControl w:val="0"/>
        <w:tabs>
          <w:tab w:val="left" w:pos="270"/>
        </w:tabs>
        <w:adjustRightInd w:val="0"/>
        <w:spacing w:line="240" w:lineRule="exact"/>
        <w:ind w:left="0"/>
        <w:rPr>
          <w:rFonts w:cs="Arial"/>
          <w:szCs w:val="22"/>
        </w:rPr>
      </w:pPr>
      <w:r w:rsidRPr="007F06BE">
        <w:rPr>
          <w:rFonts w:cs="Arial"/>
          <w:b/>
          <w:iCs/>
          <w:szCs w:val="22"/>
        </w:rPr>
        <w:t>c.</w:t>
      </w:r>
      <w:r w:rsidR="00E469D4" w:rsidRPr="007F06BE">
        <w:rPr>
          <w:rFonts w:cs="Arial"/>
          <w:bCs/>
          <w:szCs w:val="22"/>
        </w:rPr>
        <w:t>Yao</w:t>
      </w:r>
      <w:r w:rsidR="00E469D4" w:rsidRPr="007F06BE">
        <w:rPr>
          <w:rFonts w:cs="Arial"/>
          <w:bCs/>
          <w:szCs w:val="22"/>
          <w:vertAlign w:val="superscript"/>
        </w:rPr>
        <w:t xml:space="preserve"> </w:t>
      </w:r>
      <w:r w:rsidR="00E469D4" w:rsidRPr="007F06BE">
        <w:rPr>
          <w:rFonts w:cs="Arial"/>
          <w:szCs w:val="22"/>
        </w:rPr>
        <w:t>Q, Parvez Khan M, Merceron C, LaGory</w:t>
      </w:r>
      <w:r w:rsidR="00E469D4" w:rsidRPr="007F06BE">
        <w:rPr>
          <w:rFonts w:cs="Arial"/>
          <w:bCs/>
          <w:szCs w:val="22"/>
          <w:vertAlign w:val="superscript"/>
        </w:rPr>
        <w:t xml:space="preserve"> </w:t>
      </w:r>
      <w:r w:rsidR="00E469D4" w:rsidRPr="007F06BE">
        <w:rPr>
          <w:rFonts w:cs="Arial"/>
          <w:szCs w:val="22"/>
        </w:rPr>
        <w:t>E, Tata</w:t>
      </w:r>
      <w:r w:rsidR="00E469D4" w:rsidRPr="007F06BE">
        <w:rPr>
          <w:rFonts w:cs="Arial"/>
          <w:bCs/>
          <w:szCs w:val="22"/>
          <w:vertAlign w:val="superscript"/>
        </w:rPr>
        <w:t xml:space="preserve"> </w:t>
      </w:r>
      <w:r w:rsidR="00E469D4" w:rsidRPr="007F06BE">
        <w:rPr>
          <w:rFonts w:cs="Arial"/>
          <w:szCs w:val="22"/>
        </w:rPr>
        <w:t>Z, Mangiavini</w:t>
      </w:r>
      <w:r w:rsidR="00E469D4" w:rsidRPr="007F06BE">
        <w:rPr>
          <w:rFonts w:cs="Arial"/>
          <w:bCs/>
          <w:szCs w:val="22"/>
          <w:vertAlign w:val="superscript"/>
        </w:rPr>
        <w:t xml:space="preserve"> </w:t>
      </w:r>
      <w:r w:rsidR="00E469D4" w:rsidRPr="007F06BE">
        <w:rPr>
          <w:rFonts w:cs="Arial"/>
          <w:szCs w:val="22"/>
        </w:rPr>
        <w:t>L, Hu</w:t>
      </w:r>
      <w:r w:rsidR="00E469D4" w:rsidRPr="007F06BE">
        <w:rPr>
          <w:rFonts w:cs="Arial"/>
          <w:bCs/>
          <w:szCs w:val="22"/>
          <w:vertAlign w:val="superscript"/>
        </w:rPr>
        <w:t xml:space="preserve"> </w:t>
      </w:r>
      <w:r w:rsidR="00E469D4" w:rsidRPr="007F06BE">
        <w:rPr>
          <w:rFonts w:cs="Arial"/>
          <w:szCs w:val="22"/>
        </w:rPr>
        <w:t>J, Vemulapalli</w:t>
      </w:r>
      <w:r w:rsidR="00E469D4" w:rsidRPr="007F06BE">
        <w:rPr>
          <w:rFonts w:cs="Arial"/>
          <w:bCs/>
          <w:szCs w:val="22"/>
          <w:vertAlign w:val="superscript"/>
        </w:rPr>
        <w:t xml:space="preserve"> </w:t>
      </w:r>
      <w:r w:rsidR="00E469D4" w:rsidRPr="007F06BE">
        <w:rPr>
          <w:rFonts w:cs="Arial"/>
          <w:szCs w:val="22"/>
        </w:rPr>
        <w:t>K, Chandel</w:t>
      </w:r>
      <w:r w:rsidR="00E469D4" w:rsidRPr="007F06BE">
        <w:rPr>
          <w:rFonts w:cs="Arial"/>
          <w:bCs/>
          <w:szCs w:val="22"/>
          <w:vertAlign w:val="superscript"/>
        </w:rPr>
        <w:t xml:space="preserve"> </w:t>
      </w:r>
      <w:r w:rsidR="00E469D4" w:rsidRPr="007F06BE">
        <w:rPr>
          <w:rFonts w:cs="Arial"/>
          <w:szCs w:val="22"/>
        </w:rPr>
        <w:t>NS, Giaccia</w:t>
      </w:r>
      <w:r w:rsidR="00E469D4" w:rsidRPr="007F06BE">
        <w:rPr>
          <w:rFonts w:cs="Arial"/>
          <w:bCs/>
          <w:szCs w:val="22"/>
          <w:vertAlign w:val="superscript"/>
        </w:rPr>
        <w:t xml:space="preserve"> </w:t>
      </w:r>
      <w:r w:rsidR="00E469D4" w:rsidRPr="007F06BE">
        <w:rPr>
          <w:rFonts w:cs="Arial"/>
          <w:szCs w:val="22"/>
        </w:rPr>
        <w:t xml:space="preserve">AJ, </w:t>
      </w:r>
      <w:r w:rsidR="00E469D4" w:rsidRPr="007F06BE">
        <w:rPr>
          <w:rFonts w:cs="Arial"/>
          <w:b/>
          <w:szCs w:val="22"/>
        </w:rPr>
        <w:t>Schipani</w:t>
      </w:r>
      <w:r w:rsidR="00E469D4" w:rsidRPr="007F06BE">
        <w:rPr>
          <w:rFonts w:cs="Arial"/>
          <w:b/>
          <w:bCs/>
          <w:szCs w:val="22"/>
          <w:vertAlign w:val="superscript"/>
        </w:rPr>
        <w:t xml:space="preserve"> </w:t>
      </w:r>
      <w:r w:rsidR="00E469D4" w:rsidRPr="007F06BE">
        <w:rPr>
          <w:rFonts w:cs="Arial"/>
          <w:b/>
          <w:color w:val="000000" w:themeColor="text1"/>
          <w:szCs w:val="22"/>
        </w:rPr>
        <w:t>E</w:t>
      </w:r>
      <w:r w:rsidR="00E469D4" w:rsidRPr="007F06BE">
        <w:rPr>
          <w:rFonts w:cs="Arial"/>
          <w:color w:val="000000" w:themeColor="text1"/>
          <w:szCs w:val="22"/>
        </w:rPr>
        <w:t xml:space="preserve">. Suppressing mitochondrial respiration is critical for hypoxia tolerance in the fetal growth plate. </w:t>
      </w:r>
      <w:r w:rsidR="00E469D4" w:rsidRPr="007F06BE">
        <w:rPr>
          <w:rFonts w:cs="Arial"/>
          <w:b/>
          <w:color w:val="000000" w:themeColor="text1"/>
          <w:szCs w:val="22"/>
        </w:rPr>
        <w:t>Developmental Cell 201;</w:t>
      </w:r>
      <w:r w:rsidR="00E469D4" w:rsidRPr="007F06BE">
        <w:rPr>
          <w:rFonts w:cs="Arial"/>
          <w:color w:val="000000" w:themeColor="text1"/>
          <w:szCs w:val="22"/>
        </w:rPr>
        <w:t>49: 748-763 (</w:t>
      </w:r>
      <w:r w:rsidR="00E469D4" w:rsidRPr="007F06BE">
        <w:rPr>
          <w:rFonts w:cs="Arial"/>
          <w:b/>
          <w:color w:val="000000" w:themeColor="text1"/>
          <w:szCs w:val="22"/>
        </w:rPr>
        <w:t xml:space="preserve">Preview in the same issue; featured in Science Signaling 2019; 12). </w:t>
      </w:r>
    </w:p>
    <w:p w14:paraId="619DE86F" w14:textId="651426EB" w:rsidR="007F06BE" w:rsidRDefault="007F06BE" w:rsidP="007F06BE">
      <w:pPr>
        <w:widowControl w:val="0"/>
        <w:tabs>
          <w:tab w:val="left" w:pos="270"/>
        </w:tabs>
        <w:adjustRightInd w:val="0"/>
        <w:spacing w:line="240" w:lineRule="exact"/>
        <w:rPr>
          <w:rFonts w:cs="Arial"/>
          <w:b/>
          <w:bCs/>
          <w:i/>
          <w:iCs/>
          <w:szCs w:val="22"/>
        </w:rPr>
      </w:pPr>
      <w:r w:rsidRPr="007F06BE">
        <w:rPr>
          <w:rFonts w:cs="Arial"/>
          <w:b/>
          <w:szCs w:val="22"/>
        </w:rPr>
        <w:t>d</w:t>
      </w:r>
      <w:r>
        <w:rPr>
          <w:rFonts w:cs="Arial"/>
          <w:bCs/>
          <w:szCs w:val="22"/>
        </w:rPr>
        <w:t>.</w:t>
      </w:r>
      <w:r w:rsidRPr="007F06BE">
        <w:rPr>
          <w:rFonts w:cs="Arial"/>
          <w:bCs/>
          <w:szCs w:val="22"/>
        </w:rPr>
        <w:t>Khan MP, Sabini E, Beigel K, Lanzolla G, Laslow BM, Wang D, Merceron C, Giaccia A, Long F, Taylor DM, </w:t>
      </w:r>
      <w:r w:rsidRPr="007F06BE">
        <w:rPr>
          <w:rFonts w:cs="Arial"/>
          <w:b/>
          <w:bCs/>
          <w:szCs w:val="22"/>
        </w:rPr>
        <w:t xml:space="preserve">Schipani E.  </w:t>
      </w:r>
      <w:r w:rsidRPr="007F06BE">
        <w:rPr>
          <w:rFonts w:cs="Arial"/>
          <w:bCs/>
          <w:szCs w:val="22"/>
        </w:rPr>
        <w:t>HIF1 safeguards cortical bone formation against impaired oxidat</w:t>
      </w:r>
      <w:r w:rsidR="00614454">
        <w:rPr>
          <w:rFonts w:cs="Arial"/>
          <w:bCs/>
          <w:szCs w:val="22"/>
        </w:rPr>
        <w:t>ive</w:t>
      </w:r>
      <w:r w:rsidRPr="007F06BE">
        <w:rPr>
          <w:rFonts w:cs="Arial"/>
          <w:bCs/>
          <w:szCs w:val="22"/>
        </w:rPr>
        <w:t xml:space="preserve"> phosphorylation. </w:t>
      </w:r>
      <w:r w:rsidRPr="007F06BE">
        <w:rPr>
          <w:rFonts w:cs="Arial"/>
          <w:b/>
          <w:bCs/>
          <w:szCs w:val="22"/>
        </w:rPr>
        <w:t>JCI Insight 2024</w:t>
      </w:r>
      <w:r w:rsidRPr="007F06BE">
        <w:rPr>
          <w:rFonts w:cs="Arial"/>
          <w:bCs/>
          <w:szCs w:val="22"/>
        </w:rPr>
        <w:t>; 9(18):e182330</w:t>
      </w:r>
      <w:r w:rsidRPr="007F06BE">
        <w:rPr>
          <w:rFonts w:cs="Arial"/>
          <w:b/>
          <w:bCs/>
          <w:i/>
          <w:iCs/>
          <w:szCs w:val="22"/>
        </w:rPr>
        <w:t xml:space="preserve">. </w:t>
      </w:r>
    </w:p>
    <w:p w14:paraId="7E67AFE5" w14:textId="77777777" w:rsidR="009D084D" w:rsidRDefault="009D084D" w:rsidP="007F06BE">
      <w:pPr>
        <w:widowControl w:val="0"/>
        <w:tabs>
          <w:tab w:val="left" w:pos="270"/>
        </w:tabs>
        <w:adjustRightInd w:val="0"/>
        <w:spacing w:line="240" w:lineRule="exact"/>
        <w:rPr>
          <w:rFonts w:cs="Arial"/>
          <w:b/>
          <w:bCs/>
          <w:i/>
          <w:iCs/>
          <w:szCs w:val="22"/>
        </w:rPr>
      </w:pPr>
    </w:p>
    <w:p w14:paraId="6FF6F95F" w14:textId="2B97FC9F" w:rsidR="00883C71" w:rsidRPr="00883C71" w:rsidRDefault="009D084D" w:rsidP="00883C71">
      <w:pPr>
        <w:widowControl w:val="0"/>
        <w:tabs>
          <w:tab w:val="left" w:pos="270"/>
        </w:tabs>
        <w:adjustRightInd w:val="0"/>
        <w:spacing w:line="240" w:lineRule="exact"/>
        <w:rPr>
          <w:rFonts w:cs="Arial"/>
          <w:b/>
          <w:bCs/>
          <w:szCs w:val="22"/>
          <w:u w:val="single"/>
        </w:rPr>
      </w:pPr>
      <w:r>
        <w:rPr>
          <w:rFonts w:cs="Arial"/>
          <w:b/>
          <w:bCs/>
          <w:szCs w:val="22"/>
        </w:rPr>
        <w:t>3</w:t>
      </w:r>
      <w:r w:rsidRPr="009D084D">
        <w:rPr>
          <w:rFonts w:cs="Arial"/>
          <w:b/>
          <w:bCs/>
          <w:szCs w:val="22"/>
        </w:rPr>
        <w:t>.</w:t>
      </w:r>
      <w:r w:rsidR="00883C71" w:rsidRPr="00883C71">
        <w:rPr>
          <w:rFonts w:eastAsiaTheme="minorHAnsi" w:cs="Arial"/>
          <w:b/>
          <w:bCs/>
          <w:kern w:val="2"/>
          <w:szCs w:val="22"/>
          <w:u w:val="single"/>
          <w14:ligatures w14:val="standardContextual"/>
        </w:rPr>
        <w:t xml:space="preserve"> </w:t>
      </w:r>
      <w:r w:rsidR="00883C71" w:rsidRPr="00883C71">
        <w:rPr>
          <w:rFonts w:cs="Arial"/>
          <w:b/>
          <w:bCs/>
          <w:szCs w:val="22"/>
          <w:u w:val="single"/>
        </w:rPr>
        <w:t>HIF1 and the reprogramming of metabolism in somitogenesis</w:t>
      </w:r>
    </w:p>
    <w:p w14:paraId="70C9A619" w14:textId="77777777" w:rsidR="00883C71" w:rsidRPr="00883C71" w:rsidRDefault="00883C71" w:rsidP="00883C71">
      <w:pPr>
        <w:widowControl w:val="0"/>
        <w:tabs>
          <w:tab w:val="left" w:pos="270"/>
        </w:tabs>
        <w:adjustRightInd w:val="0"/>
        <w:spacing w:line="240" w:lineRule="exact"/>
        <w:rPr>
          <w:rFonts w:cs="Arial"/>
          <w:szCs w:val="22"/>
        </w:rPr>
      </w:pPr>
      <w:r w:rsidRPr="00883C71">
        <w:rPr>
          <w:rFonts w:cs="Arial"/>
          <w:szCs w:val="22"/>
        </w:rPr>
        <w:t>In collaboration with Dr. Mark Lewandoski at NCI, we recently established that HIF-1 is critical for spine development as its loss in the presomitic mesoderm impairs somitogenesis and causes spine and rib malformations that closely mimic those observed in patients with Jarcho-Levin Syndrome, a rare form of spondylothoracic dysplasia. A manuscript reporting those findings is in preparation.</w:t>
      </w:r>
    </w:p>
    <w:p w14:paraId="02F5FF34" w14:textId="77777777" w:rsidR="00883C71" w:rsidRPr="00883C71" w:rsidRDefault="00883C71" w:rsidP="00883C71">
      <w:pPr>
        <w:widowControl w:val="0"/>
        <w:tabs>
          <w:tab w:val="left" w:pos="270"/>
        </w:tabs>
        <w:adjustRightInd w:val="0"/>
        <w:spacing w:line="240" w:lineRule="exact"/>
        <w:rPr>
          <w:rFonts w:cs="Arial"/>
          <w:szCs w:val="22"/>
        </w:rPr>
      </w:pPr>
      <w:r w:rsidRPr="00883C71">
        <w:rPr>
          <w:rFonts w:cs="Arial"/>
          <w:szCs w:val="22"/>
        </w:rPr>
        <w:t>We are currently investigating whether the impairment of somitogenesis secondary to loss of HIF-1 is due to dysregulation of glycolysis and mitochondrial function in the presomitic mesoderm.</w:t>
      </w:r>
    </w:p>
    <w:p w14:paraId="08C42D75" w14:textId="324C1395" w:rsidR="007F06BE" w:rsidRPr="00883C71" w:rsidRDefault="007F06BE" w:rsidP="00883C71">
      <w:pPr>
        <w:widowControl w:val="0"/>
        <w:tabs>
          <w:tab w:val="left" w:pos="270"/>
        </w:tabs>
        <w:adjustRightInd w:val="0"/>
        <w:spacing w:line="240" w:lineRule="exact"/>
        <w:rPr>
          <w:rFonts w:cs="Arial"/>
          <w:i/>
          <w:szCs w:val="22"/>
        </w:rPr>
      </w:pPr>
    </w:p>
    <w:p w14:paraId="528AF49C" w14:textId="57786B4B" w:rsidR="00883C71" w:rsidRPr="00883C71" w:rsidRDefault="009D084D" w:rsidP="00883C71">
      <w:pPr>
        <w:spacing w:line="240" w:lineRule="exact"/>
        <w:jc w:val="both"/>
        <w:rPr>
          <w:rFonts w:cs="Arial"/>
          <w:b/>
          <w:bCs/>
          <w:szCs w:val="22"/>
          <w:u w:val="single"/>
        </w:rPr>
      </w:pPr>
      <w:r>
        <w:rPr>
          <w:rFonts w:cs="Arial"/>
          <w:b/>
          <w:bCs/>
          <w:szCs w:val="22"/>
        </w:rPr>
        <w:t>4</w:t>
      </w:r>
      <w:r w:rsidR="00097D3C">
        <w:rPr>
          <w:rFonts w:cs="Arial"/>
          <w:szCs w:val="22"/>
        </w:rPr>
        <w:t>.</w:t>
      </w:r>
      <w:r w:rsidR="00883C71" w:rsidRPr="00883C71">
        <w:rPr>
          <w:rFonts w:eastAsiaTheme="minorHAnsi" w:cs="Arial"/>
          <w:b/>
          <w:bCs/>
          <w:kern w:val="2"/>
          <w:szCs w:val="22"/>
          <w:u w:val="single"/>
          <w14:ligatures w14:val="standardContextual"/>
        </w:rPr>
        <w:t xml:space="preserve"> </w:t>
      </w:r>
      <w:r w:rsidR="00883C71" w:rsidRPr="00883C71">
        <w:rPr>
          <w:rFonts w:cs="Arial"/>
          <w:b/>
          <w:bCs/>
          <w:szCs w:val="22"/>
          <w:u w:val="single"/>
        </w:rPr>
        <w:t>HIF-2 and the control of bone mass accrual and homeostasis</w:t>
      </w:r>
    </w:p>
    <w:p w14:paraId="6C94EA09" w14:textId="735FCA53" w:rsidR="00883C71" w:rsidRPr="00883C71" w:rsidRDefault="00883C71" w:rsidP="00883C71">
      <w:pPr>
        <w:spacing w:line="240" w:lineRule="exact"/>
        <w:jc w:val="both"/>
        <w:rPr>
          <w:rFonts w:cs="Arial"/>
          <w:szCs w:val="22"/>
        </w:rPr>
      </w:pPr>
      <w:r w:rsidRPr="00883C71">
        <w:rPr>
          <w:rFonts w:cs="Arial"/>
          <w:szCs w:val="22"/>
        </w:rPr>
        <w:t>A gradient of oxygenation exists within the bone marrow, despite its high vascularization. This phenomenon underscores the complexity of the bone marrow microenvironment, where localized hypoxia plays critical roles in cellular function.</w:t>
      </w:r>
      <w:r>
        <w:rPr>
          <w:rFonts w:cs="Arial"/>
          <w:szCs w:val="22"/>
        </w:rPr>
        <w:t xml:space="preserve"> </w:t>
      </w:r>
      <w:r w:rsidRPr="00883C71">
        <w:rPr>
          <w:rFonts w:cs="Arial"/>
          <w:szCs w:val="22"/>
        </w:rPr>
        <w:t xml:space="preserve">In collaboration with Dr. Amato Giaccia at Stanford, we demonstrated that osteoblasts have the remarkable ability to produce and secrete erythropoietin (EPO), a hormone essential for erythropoiesis, when hypoxia-inducible factor-2 (HIF-2), another transcription factor central to the hypoxic response, is activated in those cells. Our findings suggest that transient pharmacological activation of the hypoxia signaling pathway in osteoblasts could serve as a therapeutic approach to enhance EPO production, especially in conditions characterized by EPO deficiency, such as chronic kidney disease. </w:t>
      </w:r>
      <w:r>
        <w:rPr>
          <w:rFonts w:cs="Arial"/>
          <w:szCs w:val="22"/>
        </w:rPr>
        <w:t xml:space="preserve"> </w:t>
      </w:r>
      <w:r w:rsidRPr="00883C71">
        <w:rPr>
          <w:rFonts w:cs="Arial"/>
          <w:szCs w:val="22"/>
        </w:rPr>
        <w:t xml:space="preserve">In addition to its role in EPO production, HIF-2 has distinct effects on skeletal development. Unlike HIF-1, HIF-2 plays a less critical role in growth plate development. Interestingly, however, our research uncovered that reducing or inhibiting HIF-2 in mesenchymal progenitors and their descendants during development leads to the formation of stronger bones with increased trabecular bone mass. This improvement is driven by the expansion of mesenchymal progenitor cells within the bone marrow, which subsequently differentiate into osteoblasts. By increasing the pool of these progenitors, we effectively enhanced bone-forming capacity. A particularly exciting breakthrough involved the testing a HIF-2 inhibitor, PT2399, which was originally developed to treat clear cell renal carcinoma. In mouse models of menopause (characterized by estrogen deficiency), this drug prevented bone loss and promoted bone formation by expanding the pool of early osteoblast precursors. These findings highlight a promising therapeutic avenue for addressing osteoporosis and other bone loss conditions by targeting HIF-2.  </w:t>
      </w:r>
      <w:r>
        <w:rPr>
          <w:rFonts w:cs="Arial"/>
          <w:szCs w:val="22"/>
        </w:rPr>
        <w:t xml:space="preserve"> </w:t>
      </w:r>
      <w:r w:rsidRPr="00883C71">
        <w:rPr>
          <w:rFonts w:cs="Arial"/>
          <w:szCs w:val="22"/>
        </w:rPr>
        <w:t>Currently, our research employs unbiased methodologies, including transcriptomic analyses, to elucidate the molecular mechanisms underlying the expansion of mesenchymal progenitor cells when HIF-2 activity is pharmacologically suppressed. These studies aim to identify novel pathways that can be leveraged to optimize bone health therapeutics.</w:t>
      </w:r>
    </w:p>
    <w:p w14:paraId="3F0BFA0D" w14:textId="27E35674" w:rsidR="00097D3C" w:rsidRDefault="00097D3C" w:rsidP="00883C71">
      <w:pPr>
        <w:spacing w:line="240" w:lineRule="exact"/>
        <w:jc w:val="both"/>
        <w:rPr>
          <w:rFonts w:cs="Arial"/>
          <w:color w:val="000000" w:themeColor="text1"/>
          <w:szCs w:val="22"/>
        </w:rPr>
      </w:pPr>
      <w:r w:rsidRPr="00097D3C">
        <w:rPr>
          <w:rFonts w:cs="Arial"/>
          <w:b/>
          <w:bCs/>
          <w:szCs w:val="22"/>
        </w:rPr>
        <w:t>a</w:t>
      </w:r>
      <w:r>
        <w:rPr>
          <w:rFonts w:cs="Arial"/>
          <w:szCs w:val="22"/>
        </w:rPr>
        <w:t>.</w:t>
      </w:r>
      <w:r w:rsidRPr="002273B5">
        <w:rPr>
          <w:rFonts w:cs="Arial"/>
          <w:szCs w:val="22"/>
        </w:rPr>
        <w:t xml:space="preserve">Araldi E, Khatri R, Giaccia AJ, Simon MC, </w:t>
      </w:r>
      <w:r w:rsidRPr="002273B5">
        <w:rPr>
          <w:rFonts w:cs="Arial"/>
          <w:b/>
          <w:szCs w:val="22"/>
        </w:rPr>
        <w:t>Schipani E</w:t>
      </w:r>
      <w:r w:rsidRPr="002273B5">
        <w:rPr>
          <w:rFonts w:cs="Arial"/>
          <w:szCs w:val="22"/>
        </w:rPr>
        <w:t xml:space="preserve">. Lack of Hif-2alpha in limb bud mesenchyme causes only a modest and transient delay of endochondral bone development. </w:t>
      </w:r>
      <w:r w:rsidRPr="002273B5">
        <w:rPr>
          <w:rFonts w:cs="Arial"/>
          <w:b/>
          <w:szCs w:val="22"/>
        </w:rPr>
        <w:t>Nature Medicine 2011;</w:t>
      </w:r>
      <w:r w:rsidRPr="002273B5">
        <w:rPr>
          <w:rFonts w:cs="Arial"/>
          <w:szCs w:val="22"/>
        </w:rPr>
        <w:t>17: 25-26.</w:t>
      </w:r>
      <w:r w:rsidRPr="002273B5">
        <w:rPr>
          <w:rFonts w:cs="Arial"/>
          <w:color w:val="454545"/>
          <w:szCs w:val="22"/>
        </w:rPr>
        <w:t xml:space="preserve"> </w:t>
      </w:r>
    </w:p>
    <w:p w14:paraId="03C4B7D4" w14:textId="6D341CF8" w:rsidR="00455C98" w:rsidRDefault="00455C98" w:rsidP="00455C98">
      <w:pPr>
        <w:autoSpaceDE/>
        <w:autoSpaceDN/>
        <w:spacing w:line="240" w:lineRule="exact"/>
        <w:rPr>
          <w:rFonts w:eastAsia="Times" w:cs="Arial"/>
          <w:szCs w:val="22"/>
        </w:rPr>
      </w:pPr>
      <w:r w:rsidRPr="00455C98">
        <w:rPr>
          <w:rFonts w:eastAsia="Times" w:cs="Arial"/>
          <w:b/>
          <w:bCs/>
          <w:szCs w:val="22"/>
        </w:rPr>
        <w:t>b</w:t>
      </w:r>
      <w:r>
        <w:rPr>
          <w:rFonts w:eastAsia="Times" w:cs="Arial"/>
          <w:szCs w:val="22"/>
        </w:rPr>
        <w:t>.</w:t>
      </w:r>
      <w:r w:rsidRPr="002273B5">
        <w:rPr>
          <w:rFonts w:eastAsia="Times" w:cs="Arial"/>
          <w:szCs w:val="22"/>
        </w:rPr>
        <w:t>Rankin EB, Wu C, Khatri</w:t>
      </w:r>
      <w:r w:rsidRPr="002273B5">
        <w:rPr>
          <w:rFonts w:eastAsia="Times" w:cs="Arial"/>
          <w:szCs w:val="22"/>
          <w:vertAlign w:val="superscript"/>
        </w:rPr>
        <w:t xml:space="preserve"> </w:t>
      </w:r>
      <w:r w:rsidRPr="002273B5">
        <w:rPr>
          <w:rFonts w:eastAsia="Times" w:cs="Arial"/>
          <w:szCs w:val="22"/>
        </w:rPr>
        <w:t>R, Wilson TLS, Rankin</w:t>
      </w:r>
      <w:r w:rsidRPr="002273B5">
        <w:rPr>
          <w:rFonts w:eastAsia="Times" w:cs="Arial"/>
          <w:szCs w:val="22"/>
          <w:vertAlign w:val="superscript"/>
        </w:rPr>
        <w:t xml:space="preserve">  </w:t>
      </w:r>
      <w:r w:rsidRPr="002273B5">
        <w:rPr>
          <w:rFonts w:eastAsia="Times" w:cs="Arial"/>
          <w:szCs w:val="22"/>
        </w:rPr>
        <w:t>AL, Kuo</w:t>
      </w:r>
      <w:r w:rsidRPr="002273B5">
        <w:rPr>
          <w:rFonts w:eastAsia="Times" w:cs="Arial"/>
          <w:szCs w:val="22"/>
          <w:vertAlign w:val="superscript"/>
        </w:rPr>
        <w:t xml:space="preserve">  </w:t>
      </w:r>
      <w:r w:rsidRPr="002273B5">
        <w:rPr>
          <w:rFonts w:eastAsia="Times" w:cs="Arial"/>
          <w:szCs w:val="22"/>
        </w:rPr>
        <w:t xml:space="preserve">CJ, </w:t>
      </w:r>
      <w:r w:rsidRPr="002273B5">
        <w:rPr>
          <w:rFonts w:eastAsia="Times" w:cs="Arial"/>
          <w:b/>
          <w:szCs w:val="22"/>
        </w:rPr>
        <w:t>Schipani  E,</w:t>
      </w:r>
      <w:r w:rsidRPr="002273B5">
        <w:rPr>
          <w:rFonts w:eastAsia="Times" w:cs="Arial"/>
          <w:szCs w:val="22"/>
        </w:rPr>
        <w:t xml:space="preserve"> Giaccia AJ. HIF signaling in osteoblasts regulates erythroid progenitors through EPO. </w:t>
      </w:r>
      <w:r w:rsidRPr="002273B5">
        <w:rPr>
          <w:rFonts w:eastAsia="Times" w:cs="Arial"/>
          <w:b/>
          <w:szCs w:val="22"/>
        </w:rPr>
        <w:t>C</w:t>
      </w:r>
      <w:r>
        <w:rPr>
          <w:rFonts w:eastAsia="Times" w:cs="Arial"/>
          <w:b/>
          <w:szCs w:val="22"/>
        </w:rPr>
        <w:t>ell</w:t>
      </w:r>
      <w:r w:rsidRPr="002273B5">
        <w:rPr>
          <w:rFonts w:eastAsia="Times" w:cs="Arial"/>
          <w:b/>
          <w:szCs w:val="22"/>
        </w:rPr>
        <w:t xml:space="preserve"> </w:t>
      </w:r>
      <w:r w:rsidRPr="002273B5">
        <w:rPr>
          <w:rFonts w:cs="Arial"/>
          <w:szCs w:val="22"/>
        </w:rPr>
        <w:t>2012; 149: 63-74.</w:t>
      </w:r>
      <w:r w:rsidRPr="002273B5">
        <w:rPr>
          <w:rFonts w:eastAsia="Times" w:cs="Arial"/>
          <w:szCs w:val="22"/>
        </w:rPr>
        <w:t xml:space="preserve"> </w:t>
      </w:r>
    </w:p>
    <w:p w14:paraId="06F6337B" w14:textId="03485660" w:rsidR="00455C98" w:rsidRDefault="00455C98" w:rsidP="00455C98">
      <w:pPr>
        <w:autoSpaceDE/>
        <w:autoSpaceDN/>
        <w:spacing w:line="240" w:lineRule="exact"/>
        <w:rPr>
          <w:rFonts w:eastAsia="Times" w:cs="Arial"/>
          <w:szCs w:val="22"/>
        </w:rPr>
      </w:pPr>
      <w:r w:rsidRPr="00455C98">
        <w:rPr>
          <w:rFonts w:eastAsia="Times" w:cs="Arial"/>
          <w:b/>
          <w:bCs/>
          <w:szCs w:val="22"/>
        </w:rPr>
        <w:t>c.</w:t>
      </w:r>
      <w:r w:rsidRPr="00455C98">
        <w:rPr>
          <w:rFonts w:eastAsia="Times" w:cs="Arial"/>
          <w:szCs w:val="22"/>
        </w:rPr>
        <w:t>Merceron C, Ranganathan K, Wang E, Tata Z, Makkapati S, Kahn MP, Mangiavini L, Yao QA, Castellini L, Levi B, Giaccia AJ,</w:t>
      </w:r>
      <w:r w:rsidRPr="00455C98">
        <w:rPr>
          <w:rFonts w:eastAsia="Times" w:cs="Arial"/>
          <w:b/>
          <w:i/>
          <w:szCs w:val="22"/>
        </w:rPr>
        <w:t xml:space="preserve"> </w:t>
      </w:r>
      <w:r w:rsidRPr="00455C98">
        <w:rPr>
          <w:rFonts w:eastAsia="Times" w:cs="Arial"/>
          <w:b/>
          <w:szCs w:val="22"/>
        </w:rPr>
        <w:t>Schipani E.</w:t>
      </w:r>
      <w:r w:rsidRPr="00455C98">
        <w:rPr>
          <w:rFonts w:eastAsia="Times" w:cs="Arial"/>
          <w:b/>
          <w:i/>
          <w:szCs w:val="22"/>
        </w:rPr>
        <w:t xml:space="preserve"> </w:t>
      </w:r>
      <w:r w:rsidRPr="00455C98">
        <w:rPr>
          <w:rFonts w:eastAsia="Times" w:cs="Arial"/>
          <w:szCs w:val="22"/>
        </w:rPr>
        <w:t xml:space="preserve">Hypoxia-inducible factor 2alpha is a negative regulator of osteoblastogenesis and bone mass accrual. </w:t>
      </w:r>
      <w:r w:rsidRPr="00455C98">
        <w:rPr>
          <w:rFonts w:eastAsia="Times" w:cs="Arial"/>
          <w:b/>
          <w:szCs w:val="22"/>
        </w:rPr>
        <w:t>Bone Research 2019;</w:t>
      </w:r>
      <w:r w:rsidRPr="00455C98">
        <w:rPr>
          <w:rFonts w:eastAsia="Times" w:cs="Arial"/>
          <w:szCs w:val="22"/>
        </w:rPr>
        <w:t xml:space="preserve">7:7. </w:t>
      </w:r>
    </w:p>
    <w:p w14:paraId="11580019" w14:textId="221AB6FB" w:rsidR="00C44AEB" w:rsidRPr="009D084D" w:rsidRDefault="00455C98" w:rsidP="009D084D">
      <w:pPr>
        <w:autoSpaceDE/>
        <w:autoSpaceDN/>
        <w:spacing w:line="240" w:lineRule="exact"/>
        <w:rPr>
          <w:rFonts w:eastAsia="Times" w:cs="Arial"/>
          <w:b/>
          <w:bCs/>
          <w:szCs w:val="22"/>
        </w:rPr>
      </w:pPr>
      <w:r w:rsidRPr="00455C98">
        <w:rPr>
          <w:rFonts w:eastAsia="Times" w:cs="Arial"/>
          <w:b/>
          <w:szCs w:val="22"/>
        </w:rPr>
        <w:t>d.</w:t>
      </w:r>
      <w:r w:rsidRPr="00455C98">
        <w:rPr>
          <w:rFonts w:eastAsia="Times" w:cs="Arial"/>
          <w:bCs/>
          <w:szCs w:val="22"/>
        </w:rPr>
        <w:t xml:space="preserve">Lanzolla G, Sabini E, Beigel K, Khan MP, Sherry Liu X, Wang D, Laslow B, Taylor D, Bellido T, Giaccia </w:t>
      </w:r>
      <w:r w:rsidR="008F211B" w:rsidRPr="008F211B">
        <w:rPr>
          <w:rFonts w:eastAsia="Times" w:cs="Arial"/>
          <w:bCs/>
          <w:szCs w:val="22"/>
        </w:rPr>
        <w:t>A, </w:t>
      </w:r>
      <w:r w:rsidR="008F211B" w:rsidRPr="008F211B">
        <w:rPr>
          <w:rFonts w:eastAsia="Times" w:cs="Arial"/>
          <w:b/>
          <w:bCs/>
          <w:szCs w:val="22"/>
        </w:rPr>
        <w:t xml:space="preserve">Schipani E. </w:t>
      </w:r>
      <w:r w:rsidR="008F211B" w:rsidRPr="008F211B">
        <w:rPr>
          <w:rFonts w:eastAsia="Times" w:cs="Arial"/>
          <w:bCs/>
          <w:szCs w:val="22"/>
        </w:rPr>
        <w:t xml:space="preserve">Pharmacological inhibition of HIF2 protects against bone loss in an experimental model of estrogen deficiency. </w:t>
      </w:r>
      <w:r w:rsidR="008F211B" w:rsidRPr="008F211B">
        <w:rPr>
          <w:rFonts w:eastAsia="Times" w:cs="Arial"/>
          <w:b/>
          <w:bCs/>
          <w:szCs w:val="22"/>
        </w:rPr>
        <w:t>PNAS 2024;121.</w:t>
      </w:r>
    </w:p>
    <w:p w14:paraId="2F32A8E1" w14:textId="77777777" w:rsidR="00BC084D" w:rsidRPr="002273B5" w:rsidRDefault="00BC084D" w:rsidP="00097D3C">
      <w:pPr>
        <w:pStyle w:val="ListParagraph"/>
        <w:autoSpaceDE/>
        <w:autoSpaceDN/>
        <w:spacing w:line="240" w:lineRule="exact"/>
        <w:ind w:left="0"/>
        <w:jc w:val="both"/>
        <w:rPr>
          <w:rFonts w:cs="Arial"/>
          <w:b/>
          <w:i/>
          <w:szCs w:val="22"/>
        </w:rPr>
      </w:pPr>
    </w:p>
    <w:p w14:paraId="2258FEF2" w14:textId="2C9F922B" w:rsidR="00883C71" w:rsidRPr="00883C71" w:rsidRDefault="00D236E7" w:rsidP="00883C71">
      <w:pPr>
        <w:spacing w:line="240" w:lineRule="exact"/>
        <w:jc w:val="both"/>
        <w:rPr>
          <w:rFonts w:cs="Arial"/>
          <w:b/>
          <w:bCs/>
          <w:i/>
          <w:iCs/>
          <w:szCs w:val="22"/>
          <w:u w:val="single"/>
        </w:rPr>
      </w:pPr>
      <w:r w:rsidRPr="00D236E7">
        <w:rPr>
          <w:rFonts w:cs="Arial"/>
          <w:b/>
          <w:bCs/>
          <w:iCs/>
          <w:szCs w:val="22"/>
        </w:rPr>
        <w:lastRenderedPageBreak/>
        <w:t>5.</w:t>
      </w:r>
      <w:r w:rsidR="00883C71" w:rsidRPr="00883C71">
        <w:rPr>
          <w:rFonts w:eastAsiaTheme="minorHAnsi" w:cs="Arial"/>
          <w:b/>
          <w:bCs/>
          <w:iCs/>
          <w:kern w:val="2"/>
          <w:szCs w:val="22"/>
          <w:u w:val="single"/>
          <w14:ligatures w14:val="standardContextual"/>
        </w:rPr>
        <w:t xml:space="preserve"> </w:t>
      </w:r>
      <w:r w:rsidR="00883C71" w:rsidRPr="00883C71">
        <w:rPr>
          <w:rFonts w:cs="Arial"/>
          <w:b/>
          <w:bCs/>
          <w:iCs/>
          <w:szCs w:val="22"/>
          <w:u w:val="single"/>
        </w:rPr>
        <w:t>HIFs in the pathogenesis of fibroblastic tumors of the soft tissue and cartilage regeneration</w:t>
      </w:r>
    </w:p>
    <w:p w14:paraId="6E98CFA0" w14:textId="7CB82830" w:rsidR="00883C71" w:rsidRPr="00883C71" w:rsidRDefault="00883C71" w:rsidP="00883C71">
      <w:pPr>
        <w:spacing w:line="240" w:lineRule="exact"/>
        <w:jc w:val="both"/>
        <w:rPr>
          <w:rFonts w:cs="Arial"/>
          <w:iCs/>
          <w:szCs w:val="22"/>
        </w:rPr>
      </w:pPr>
      <w:r w:rsidRPr="00883C71">
        <w:rPr>
          <w:rFonts w:cs="Arial"/>
          <w:iCs/>
          <w:szCs w:val="22"/>
        </w:rPr>
        <w:t>Our laboratory has demonstrated that continuous activation of the hypoxia signaling pathway in mesenchymal progenitor cells of the limb bud may have detrimental effects on skeletal development. Specifically, this persistent activation leads to aggressive fibrosis in synovial joints, the development of fibroblastic tumors in soft tissue, and dwarfism by disrupting both the proliferation and hypertrophic differentiation of growth plate chondrocytes. These findings underscore the critical role of tightly regulated hypoxia signaling in maintaining skeletal health and normal development.</w:t>
      </w:r>
      <w:r>
        <w:rPr>
          <w:rFonts w:cs="Arial"/>
          <w:iCs/>
          <w:szCs w:val="22"/>
        </w:rPr>
        <w:t xml:space="preserve"> </w:t>
      </w:r>
      <w:r w:rsidRPr="00883C71">
        <w:rPr>
          <w:rFonts w:cs="Arial"/>
          <w:iCs/>
          <w:szCs w:val="22"/>
        </w:rPr>
        <w:t xml:space="preserve">Notably, we also discovered that activation of the hypoxia signaling pathway in mesenchymal progenitors results in the formation of ectopic cartilage in the soft tissues surrounding the growth plate and promotes matrix accumulation in the developing growth plate. These findings suggest that increased activity of the hypoxia signaling pathway may be sufficient to drive cartilage formation under certain conditions. </w:t>
      </w:r>
    </w:p>
    <w:p w14:paraId="23BBD3E7" w14:textId="0219F1D6" w:rsidR="00883C71" w:rsidRPr="00883C71" w:rsidRDefault="00883C71" w:rsidP="00883C71">
      <w:pPr>
        <w:spacing w:line="240" w:lineRule="exact"/>
        <w:jc w:val="both"/>
        <w:rPr>
          <w:rFonts w:cs="Arial"/>
          <w:iCs/>
          <w:szCs w:val="22"/>
        </w:rPr>
      </w:pPr>
      <w:r w:rsidRPr="00883C71">
        <w:rPr>
          <w:rFonts w:cs="Arial"/>
          <w:iCs/>
          <w:szCs w:val="22"/>
        </w:rPr>
        <w:t xml:space="preserve">Taken together, if appropriately controlled, </w:t>
      </w:r>
      <w:r w:rsidRPr="00883C71">
        <w:rPr>
          <w:rFonts w:cs="Arial"/>
          <w:i/>
          <w:iCs/>
          <w:szCs w:val="22"/>
        </w:rPr>
        <w:t xml:space="preserve">transient </w:t>
      </w:r>
      <w:r w:rsidRPr="00883C71">
        <w:rPr>
          <w:rFonts w:cs="Arial"/>
          <w:iCs/>
          <w:szCs w:val="22"/>
        </w:rPr>
        <w:t>activation of hypoxia signaling could be harnessed to promote cartilage regeneration. By stimulating chondrogenesis while inhibiting hypertrophy, this strategy could enable cartilage repair in vitro and in vivo without inducing adverse outcomes, such as synovial fibrosis or fibroblastic tumor formation, provided the activation is carefully timed and transient. Our current research focuses on two main objectives: 1. Investigating the role of the hypoxia signaling pathway in the initiation and progression of fibroblastic tumors of the soft tissue; 2. Attempting to appropriately exploit the hypoxia signaling pathway for regenerating cartilage.These efforts aim to elucidate the dual role of hypoxia signaling in both pathology and regeneration, offering insights into novel therapeutic strategies for conditions involving fibroblastic tumors and cartilage repair.</w:t>
      </w:r>
    </w:p>
    <w:p w14:paraId="357E7DEF" w14:textId="77BD1A1C" w:rsidR="00E469D4" w:rsidRPr="00D236E7" w:rsidRDefault="00D236E7" w:rsidP="00883C71">
      <w:pPr>
        <w:spacing w:line="240" w:lineRule="exact"/>
        <w:jc w:val="both"/>
        <w:rPr>
          <w:rFonts w:cs="Arial"/>
          <w:iCs/>
          <w:szCs w:val="22"/>
        </w:rPr>
      </w:pPr>
      <w:r w:rsidRPr="00D236E7">
        <w:rPr>
          <w:rFonts w:cs="Arial"/>
          <w:b/>
          <w:bCs/>
          <w:iCs/>
          <w:szCs w:val="22"/>
        </w:rPr>
        <w:t>a.</w:t>
      </w:r>
      <w:r w:rsidR="00E469D4" w:rsidRPr="00D236E7">
        <w:rPr>
          <w:rFonts w:cs="Arial"/>
          <w:szCs w:val="22"/>
        </w:rPr>
        <w:t xml:space="preserve">Pfander D, Kobayashi T, Knight MC, Zelzer E, Chan DA, Olsen BR, Giaccia AJ, Johnson RS, Haase V, </w:t>
      </w:r>
      <w:r w:rsidR="00E469D4" w:rsidRPr="00D236E7">
        <w:rPr>
          <w:rFonts w:cs="Arial"/>
          <w:b/>
          <w:szCs w:val="22"/>
        </w:rPr>
        <w:t>Schipani E</w:t>
      </w:r>
      <w:r w:rsidR="00E469D4" w:rsidRPr="00D236E7">
        <w:rPr>
          <w:rFonts w:cs="Arial"/>
          <w:szCs w:val="22"/>
        </w:rPr>
        <w:t>.  Deletion of V</w:t>
      </w:r>
      <w:r w:rsidR="00E469D4" w:rsidRPr="00D236E7">
        <w:rPr>
          <w:rFonts w:cs="Arial"/>
          <w:i/>
          <w:szCs w:val="22"/>
        </w:rPr>
        <w:t>hlh</w:t>
      </w:r>
      <w:r w:rsidR="00E469D4" w:rsidRPr="00D236E7">
        <w:rPr>
          <w:rFonts w:cs="Arial"/>
          <w:szCs w:val="22"/>
        </w:rPr>
        <w:t xml:space="preserve"> in chondrocytes reduces cell proliferation and increases matrix deposition during growth plate development.  </w:t>
      </w:r>
      <w:r w:rsidR="00E469D4" w:rsidRPr="00D236E7">
        <w:rPr>
          <w:rFonts w:cs="Arial"/>
          <w:b/>
          <w:szCs w:val="22"/>
        </w:rPr>
        <w:t>Development 2004</w:t>
      </w:r>
      <w:r w:rsidR="00E469D4" w:rsidRPr="00D236E7">
        <w:rPr>
          <w:rFonts w:cs="Arial"/>
          <w:szCs w:val="22"/>
        </w:rPr>
        <w:t>; 131:2497-2508.</w:t>
      </w:r>
    </w:p>
    <w:p w14:paraId="1E9D2824" w14:textId="374180CC" w:rsidR="00E469D4" w:rsidRDefault="00D236E7" w:rsidP="00D236E7">
      <w:pPr>
        <w:autoSpaceDE/>
        <w:autoSpaceDN/>
        <w:spacing w:line="240" w:lineRule="exact"/>
        <w:rPr>
          <w:rFonts w:cs="Arial"/>
          <w:color w:val="000000"/>
          <w:szCs w:val="22"/>
          <w:shd w:val="clear" w:color="auto" w:fill="FFFFFF"/>
        </w:rPr>
      </w:pPr>
      <w:r>
        <w:rPr>
          <w:rFonts w:cs="Arial"/>
          <w:b/>
          <w:bCs/>
          <w:color w:val="000000" w:themeColor="text1"/>
          <w:szCs w:val="22"/>
        </w:rPr>
        <w:t>b</w:t>
      </w:r>
      <w:r>
        <w:rPr>
          <w:rFonts w:cs="Arial"/>
          <w:color w:val="000000" w:themeColor="text1"/>
          <w:szCs w:val="22"/>
        </w:rPr>
        <w:t>.</w:t>
      </w:r>
      <w:r w:rsidR="00E469D4" w:rsidRPr="002273B5">
        <w:rPr>
          <w:rFonts w:cs="Arial"/>
          <w:szCs w:val="22"/>
        </w:rPr>
        <w:t xml:space="preserve">Mangiavini L, Merceron C, Araldi E, Khatri R, Wilson TLS, Gerard-O’Riley R, Rankin EB, Giaccia AJ and </w:t>
      </w:r>
      <w:r w:rsidR="00E469D4" w:rsidRPr="002273B5">
        <w:rPr>
          <w:rFonts w:cs="Arial"/>
          <w:b/>
          <w:szCs w:val="22"/>
        </w:rPr>
        <w:t>Schipani E</w:t>
      </w:r>
      <w:r w:rsidR="00E469D4" w:rsidRPr="002273B5">
        <w:rPr>
          <w:rFonts w:cs="Arial"/>
          <w:szCs w:val="22"/>
        </w:rPr>
        <w:t xml:space="preserve">.  Loss of VHL in mesenchymal cells of the limb bud alters multiple steps of endochondral bone development. </w:t>
      </w:r>
      <w:r w:rsidR="00E469D4" w:rsidRPr="002273B5">
        <w:rPr>
          <w:rFonts w:cs="Arial"/>
          <w:b/>
          <w:szCs w:val="22"/>
        </w:rPr>
        <w:t>Dev Biol 2014;</w:t>
      </w:r>
      <w:r w:rsidR="00E469D4" w:rsidRPr="002273B5">
        <w:rPr>
          <w:rFonts w:cs="Arial"/>
          <w:szCs w:val="22"/>
        </w:rPr>
        <w:t xml:space="preserve"> 393(1):124-36. </w:t>
      </w:r>
    </w:p>
    <w:p w14:paraId="0E64AED5" w14:textId="67D18197" w:rsidR="00D76511" w:rsidRPr="00922803" w:rsidRDefault="0086281D" w:rsidP="00922803">
      <w:pPr>
        <w:autoSpaceDE/>
        <w:autoSpaceDN/>
        <w:spacing w:line="240" w:lineRule="exact"/>
        <w:rPr>
          <w:rFonts w:cs="Arial"/>
          <w:b/>
          <w:i/>
          <w:szCs w:val="22"/>
        </w:rPr>
      </w:pPr>
      <w:r w:rsidRPr="0086281D">
        <w:rPr>
          <w:rFonts w:cs="Arial"/>
          <w:b/>
          <w:bCs/>
          <w:color w:val="000000"/>
          <w:szCs w:val="22"/>
          <w:shd w:val="clear" w:color="auto" w:fill="FFFFFF"/>
        </w:rPr>
        <w:t>c.</w:t>
      </w:r>
      <w:r w:rsidRPr="0086281D">
        <w:rPr>
          <w:rFonts w:cs="Arial"/>
          <w:color w:val="000000"/>
          <w:szCs w:val="22"/>
          <w:shd w:val="clear" w:color="auto" w:fill="FFFFFF"/>
        </w:rPr>
        <w:t xml:space="preserve">Mangiavini L, Merceron C, Araldi E, Khatri R, Gerard-O’Riley R Wilson TLS, Sandusky G. Abadie J, Lyons LM, Giaccia AJ and </w:t>
      </w:r>
      <w:r w:rsidRPr="0086281D">
        <w:rPr>
          <w:rFonts w:cs="Arial"/>
          <w:b/>
          <w:color w:val="000000"/>
          <w:szCs w:val="22"/>
          <w:shd w:val="clear" w:color="auto" w:fill="FFFFFF"/>
        </w:rPr>
        <w:t>Schipani E</w:t>
      </w:r>
      <w:r w:rsidRPr="0086281D">
        <w:rPr>
          <w:rFonts w:cs="Arial"/>
          <w:color w:val="000000"/>
          <w:szCs w:val="22"/>
          <w:shd w:val="clear" w:color="auto" w:fill="FFFFFF"/>
        </w:rPr>
        <w:t xml:space="preserve">.  Fibrosis and HIF-1a-dependent tumors of the soft tissue upon loss of VHL in mesenchymal progenitors. </w:t>
      </w:r>
      <w:r w:rsidRPr="0086281D">
        <w:rPr>
          <w:rFonts w:cs="Arial"/>
          <w:b/>
          <w:color w:val="000000"/>
          <w:szCs w:val="22"/>
          <w:shd w:val="clear" w:color="auto" w:fill="FFFFFF"/>
        </w:rPr>
        <w:t xml:space="preserve">AJP 2015; </w:t>
      </w:r>
      <w:r w:rsidRPr="0086281D">
        <w:rPr>
          <w:rFonts w:cs="Arial"/>
          <w:color w:val="000000"/>
          <w:szCs w:val="22"/>
          <w:shd w:val="clear" w:color="auto" w:fill="FFFFFF"/>
        </w:rPr>
        <w:t>185:3090-101.</w:t>
      </w:r>
    </w:p>
    <w:p w14:paraId="4B3AF622" w14:textId="77777777" w:rsidR="002273B5" w:rsidRDefault="002273B5" w:rsidP="00E469D4">
      <w:pPr>
        <w:spacing w:line="240" w:lineRule="exact"/>
        <w:outlineLvl w:val="0"/>
        <w:rPr>
          <w:rFonts w:cs="Arial"/>
          <w:b/>
          <w:szCs w:val="22"/>
          <w:u w:val="single"/>
        </w:rPr>
      </w:pPr>
    </w:p>
    <w:p w14:paraId="3EC57E22" w14:textId="0318EA21" w:rsidR="00F36386" w:rsidRDefault="00725B2D" w:rsidP="00E469D4">
      <w:pPr>
        <w:spacing w:line="240" w:lineRule="exact"/>
        <w:outlineLvl w:val="0"/>
        <w:rPr>
          <w:rFonts w:cs="Arial"/>
          <w:b/>
          <w:szCs w:val="22"/>
          <w:u w:val="single"/>
        </w:rPr>
      </w:pPr>
      <w:hyperlink r:id="rId12" w:history="1">
        <w:r w:rsidRPr="00725B2D">
          <w:rPr>
            <w:rStyle w:val="Hyperlink"/>
            <w:rFonts w:cs="Arial"/>
            <w:b/>
            <w:szCs w:val="22"/>
          </w:rPr>
          <w:t>https://www.ncbi.nlm.nih.gov/myncbi/ernestina.schipani.1/bibliography/public/</w:t>
        </w:r>
      </w:hyperlink>
    </w:p>
    <w:p w14:paraId="22EC30A0" w14:textId="77777777" w:rsidR="00725B2D" w:rsidRDefault="00725B2D" w:rsidP="00E469D4">
      <w:pPr>
        <w:spacing w:line="240" w:lineRule="exact"/>
        <w:outlineLvl w:val="0"/>
        <w:rPr>
          <w:rFonts w:cs="Arial"/>
          <w:b/>
          <w:szCs w:val="22"/>
          <w:u w:val="single"/>
        </w:rPr>
      </w:pPr>
    </w:p>
    <w:p w14:paraId="479A9631" w14:textId="73AFEA89" w:rsidR="00E469D4" w:rsidRPr="002273B5" w:rsidRDefault="00E469D4" w:rsidP="00E469D4">
      <w:pPr>
        <w:spacing w:line="240" w:lineRule="exact"/>
        <w:outlineLvl w:val="0"/>
        <w:rPr>
          <w:rStyle w:val="Hyperlink"/>
          <w:rFonts w:cs="Arial"/>
          <w:b/>
          <w:color w:val="000000" w:themeColor="text1"/>
          <w:szCs w:val="22"/>
        </w:rPr>
      </w:pPr>
      <w:r w:rsidRPr="002273B5">
        <w:rPr>
          <w:rFonts w:cs="Arial"/>
          <w:b/>
          <w:szCs w:val="22"/>
          <w:u w:val="single"/>
        </w:rPr>
        <w:t>Patents</w:t>
      </w:r>
    </w:p>
    <w:p w14:paraId="1080A42E" w14:textId="033C3006" w:rsidR="00E469D4" w:rsidRPr="002273B5" w:rsidRDefault="00E469D4" w:rsidP="00E469D4">
      <w:pPr>
        <w:spacing w:line="240" w:lineRule="exact"/>
        <w:outlineLvl w:val="0"/>
        <w:rPr>
          <w:rFonts w:cs="Arial"/>
          <w:szCs w:val="22"/>
        </w:rPr>
      </w:pPr>
      <w:r w:rsidRPr="002273B5">
        <w:rPr>
          <w:rFonts w:cs="Arial"/>
          <w:color w:val="000000" w:themeColor="text1"/>
          <w:szCs w:val="22"/>
        </w:rPr>
        <w:t xml:space="preserve">Patent: </w:t>
      </w:r>
      <w:r w:rsidRPr="002273B5">
        <w:rPr>
          <w:rFonts w:cs="Arial"/>
          <w:szCs w:val="22"/>
        </w:rPr>
        <w:t xml:space="preserve">5,840,853  Date: Nov 24, 1998. Parathyroid Hormone receptor and DNA encoding this receptor. </w:t>
      </w:r>
      <w:r w:rsidRPr="002273B5">
        <w:rPr>
          <w:rFonts w:cs="Arial"/>
          <w:szCs w:val="22"/>
        </w:rPr>
        <w:br/>
        <w:t>I was member of the team who cloned the rat and opossum PTH/PTHrP receptors, and I then cloned the human homolog.</w:t>
      </w:r>
    </w:p>
    <w:p w14:paraId="5CE1EAD0" w14:textId="77777777" w:rsidR="002C51BC" w:rsidRPr="002273B5" w:rsidRDefault="002C51BC" w:rsidP="002C51BC">
      <w:pPr>
        <w:pStyle w:val="DataField11pt-Single"/>
        <w:rPr>
          <w:rStyle w:val="Strong"/>
          <w:szCs w:val="22"/>
        </w:rPr>
      </w:pPr>
    </w:p>
    <w:p w14:paraId="5BB8C337" w14:textId="10B44E9F" w:rsidR="00FC5F9E" w:rsidRPr="002273B5" w:rsidRDefault="00FC5F9E" w:rsidP="005C2CF8">
      <w:pPr>
        <w:pStyle w:val="DataField11pt-Single"/>
        <w:rPr>
          <w:rStyle w:val="Strong"/>
          <w:b w:val="0"/>
          <w:szCs w:val="22"/>
        </w:rPr>
      </w:pPr>
    </w:p>
    <w:sectPr w:rsidR="00FC5F9E" w:rsidRPr="002273B5" w:rsidSect="0069110E">
      <w:headerReference w:type="default" r:id="rId13"/>
      <w:footerReference w:type="even" r:id="rId14"/>
      <w:footerReference w:type="default" r:id="rId1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87084" w14:textId="77777777" w:rsidR="00E96517" w:rsidRDefault="00E96517">
      <w:r>
        <w:separator/>
      </w:r>
    </w:p>
  </w:endnote>
  <w:endnote w:type="continuationSeparator" w:id="0">
    <w:p w14:paraId="58CA650B" w14:textId="77777777" w:rsidR="00E96517" w:rsidRDefault="00E9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8337640"/>
      <w:docPartObj>
        <w:docPartGallery w:val="Page Numbers (Bottom of Page)"/>
        <w:docPartUnique/>
      </w:docPartObj>
    </w:sdtPr>
    <w:sdtContent>
      <w:p w14:paraId="5EA6C827" w14:textId="657F46A0" w:rsidR="000046FB" w:rsidRDefault="000046FB" w:rsidP="006F4E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22B5D7" w14:textId="77777777" w:rsidR="000046FB" w:rsidRDefault="00004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755957"/>
      <w:docPartObj>
        <w:docPartGallery w:val="Page Numbers (Bottom of Page)"/>
        <w:docPartUnique/>
      </w:docPartObj>
    </w:sdtPr>
    <w:sdtContent>
      <w:p w14:paraId="45C30719" w14:textId="736EE879" w:rsidR="000046FB" w:rsidRDefault="000046FB" w:rsidP="006F4E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5B75CC" w14:textId="77777777" w:rsidR="000046FB" w:rsidRDefault="00004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0AC2B" w14:textId="77777777" w:rsidR="00E96517" w:rsidRDefault="00E96517">
      <w:r>
        <w:separator/>
      </w:r>
    </w:p>
  </w:footnote>
  <w:footnote w:type="continuationSeparator" w:id="0">
    <w:p w14:paraId="65032194" w14:textId="77777777" w:rsidR="00E96517" w:rsidRDefault="00E96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EE32AE"/>
    <w:multiLevelType w:val="hybridMultilevel"/>
    <w:tmpl w:val="4BCAD676"/>
    <w:lvl w:ilvl="0" w:tplc="2E84EFB4">
      <w:start w:val="3"/>
      <w:numFmt w:val="upperLetter"/>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B755A"/>
    <w:multiLevelType w:val="hybridMultilevel"/>
    <w:tmpl w:val="0A5CAC3A"/>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16C9519B"/>
    <w:multiLevelType w:val="hybridMultilevel"/>
    <w:tmpl w:val="AD8A1A30"/>
    <w:lvl w:ilvl="0" w:tplc="677EA378">
      <w:start w:val="198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16CD0"/>
    <w:multiLevelType w:val="hybridMultilevel"/>
    <w:tmpl w:val="3376BA94"/>
    <w:lvl w:ilvl="0" w:tplc="73329E10">
      <w:start w:val="1"/>
      <w:numFmt w:val="lowerLetter"/>
      <w:lvlText w:val="%1."/>
      <w:lvlJc w:val="left"/>
      <w:pPr>
        <w:ind w:left="720" w:hanging="360"/>
      </w:pPr>
      <w:rPr>
        <w:rFonts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6C6DEE"/>
    <w:multiLevelType w:val="hybridMultilevel"/>
    <w:tmpl w:val="D53CD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7A7AA3"/>
    <w:multiLevelType w:val="multilevel"/>
    <w:tmpl w:val="456EDF7C"/>
    <w:lvl w:ilvl="0">
      <w:start w:val="2002"/>
      <w:numFmt w:val="decimal"/>
      <w:lvlText w:val="%1"/>
      <w:lvlJc w:val="left"/>
      <w:pPr>
        <w:ind w:left="1060" w:hanging="1060"/>
      </w:pPr>
      <w:rPr>
        <w:rFonts w:hint="default"/>
        <w:i w:val="0"/>
      </w:rPr>
    </w:lvl>
    <w:lvl w:ilvl="1">
      <w:start w:val="2005"/>
      <w:numFmt w:val="decimal"/>
      <w:lvlText w:val="%1-%2"/>
      <w:lvlJc w:val="left"/>
      <w:pPr>
        <w:ind w:left="1060" w:hanging="1060"/>
      </w:pPr>
      <w:rPr>
        <w:rFonts w:hint="default"/>
        <w:i w:val="0"/>
      </w:rPr>
    </w:lvl>
    <w:lvl w:ilvl="2">
      <w:start w:val="1"/>
      <w:numFmt w:val="decimal"/>
      <w:lvlText w:val="%1-%2.%3"/>
      <w:lvlJc w:val="left"/>
      <w:pPr>
        <w:ind w:left="1060" w:hanging="1060"/>
      </w:pPr>
      <w:rPr>
        <w:rFonts w:hint="default"/>
        <w:i w:val="0"/>
      </w:rPr>
    </w:lvl>
    <w:lvl w:ilvl="3">
      <w:start w:val="1"/>
      <w:numFmt w:val="decimal"/>
      <w:lvlText w:val="%1-%2.%3.%4"/>
      <w:lvlJc w:val="left"/>
      <w:pPr>
        <w:ind w:left="1060" w:hanging="106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2D205347"/>
    <w:multiLevelType w:val="hybridMultilevel"/>
    <w:tmpl w:val="7D46880C"/>
    <w:lvl w:ilvl="0" w:tplc="B3CADDD2">
      <w:start w:val="100"/>
      <w:numFmt w:val="decimal"/>
      <w:lvlText w:val="%1."/>
      <w:lvlJc w:val="left"/>
      <w:pPr>
        <w:ind w:left="6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13478C"/>
    <w:multiLevelType w:val="hybridMultilevel"/>
    <w:tmpl w:val="6C72AD76"/>
    <w:lvl w:ilvl="0" w:tplc="456CCF46">
      <w:start w:val="199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447965"/>
    <w:multiLevelType w:val="hybridMultilevel"/>
    <w:tmpl w:val="6E88C4E2"/>
    <w:lvl w:ilvl="0" w:tplc="100A98FC">
      <w:start w:val="1995"/>
      <w:numFmt w:val="decimal"/>
      <w:lvlText w:val="%1"/>
      <w:lvlJc w:val="left"/>
      <w:pPr>
        <w:tabs>
          <w:tab w:val="num" w:pos="1800"/>
        </w:tabs>
        <w:ind w:left="1800" w:hanging="1440"/>
      </w:pPr>
      <w:rPr>
        <w:rFonts w:hint="default"/>
      </w:rPr>
    </w:lvl>
    <w:lvl w:ilvl="1" w:tplc="8BD03F2E">
      <w:start w:val="16"/>
      <w:numFmt w:val="decimal"/>
      <w:lvlText w:val="%2."/>
      <w:lvlJc w:val="left"/>
      <w:pPr>
        <w:tabs>
          <w:tab w:val="num" w:pos="1440"/>
        </w:tabs>
        <w:ind w:left="1440" w:hanging="360"/>
      </w:pPr>
      <w:rPr>
        <w:rFonts w:hint="default"/>
      </w:rPr>
    </w:lvl>
    <w:lvl w:ilvl="2" w:tplc="42D452A0" w:tentative="1">
      <w:start w:val="1"/>
      <w:numFmt w:val="lowerRoman"/>
      <w:lvlText w:val="%3."/>
      <w:lvlJc w:val="right"/>
      <w:pPr>
        <w:tabs>
          <w:tab w:val="num" w:pos="2160"/>
        </w:tabs>
        <w:ind w:left="2160" w:hanging="180"/>
      </w:pPr>
    </w:lvl>
    <w:lvl w:ilvl="3" w:tplc="427855DE" w:tentative="1">
      <w:start w:val="1"/>
      <w:numFmt w:val="decimal"/>
      <w:lvlText w:val="%4."/>
      <w:lvlJc w:val="left"/>
      <w:pPr>
        <w:tabs>
          <w:tab w:val="num" w:pos="2880"/>
        </w:tabs>
        <w:ind w:left="2880" w:hanging="360"/>
      </w:pPr>
    </w:lvl>
    <w:lvl w:ilvl="4" w:tplc="A944013A" w:tentative="1">
      <w:start w:val="1"/>
      <w:numFmt w:val="lowerLetter"/>
      <w:lvlText w:val="%5."/>
      <w:lvlJc w:val="left"/>
      <w:pPr>
        <w:tabs>
          <w:tab w:val="num" w:pos="3600"/>
        </w:tabs>
        <w:ind w:left="3600" w:hanging="360"/>
      </w:pPr>
    </w:lvl>
    <w:lvl w:ilvl="5" w:tplc="6780196A" w:tentative="1">
      <w:start w:val="1"/>
      <w:numFmt w:val="lowerRoman"/>
      <w:lvlText w:val="%6."/>
      <w:lvlJc w:val="right"/>
      <w:pPr>
        <w:tabs>
          <w:tab w:val="num" w:pos="4320"/>
        </w:tabs>
        <w:ind w:left="4320" w:hanging="180"/>
      </w:pPr>
    </w:lvl>
    <w:lvl w:ilvl="6" w:tplc="3752A022" w:tentative="1">
      <w:start w:val="1"/>
      <w:numFmt w:val="decimal"/>
      <w:lvlText w:val="%7."/>
      <w:lvlJc w:val="left"/>
      <w:pPr>
        <w:tabs>
          <w:tab w:val="num" w:pos="5040"/>
        </w:tabs>
        <w:ind w:left="5040" w:hanging="360"/>
      </w:pPr>
    </w:lvl>
    <w:lvl w:ilvl="7" w:tplc="E562713E" w:tentative="1">
      <w:start w:val="1"/>
      <w:numFmt w:val="lowerLetter"/>
      <w:lvlText w:val="%8."/>
      <w:lvlJc w:val="left"/>
      <w:pPr>
        <w:tabs>
          <w:tab w:val="num" w:pos="5760"/>
        </w:tabs>
        <w:ind w:left="5760" w:hanging="360"/>
      </w:pPr>
    </w:lvl>
    <w:lvl w:ilvl="8" w:tplc="E8A83B60" w:tentative="1">
      <w:start w:val="1"/>
      <w:numFmt w:val="lowerRoman"/>
      <w:lvlText w:val="%9."/>
      <w:lvlJc w:val="right"/>
      <w:pPr>
        <w:tabs>
          <w:tab w:val="num" w:pos="6480"/>
        </w:tabs>
        <w:ind w:left="6480" w:hanging="180"/>
      </w:pPr>
    </w:lvl>
  </w:abstractNum>
  <w:abstractNum w:abstractNumId="22" w15:restartNumberingAfterBreak="0">
    <w:nsid w:val="3A311671"/>
    <w:multiLevelType w:val="hybridMultilevel"/>
    <w:tmpl w:val="0C08FB46"/>
    <w:lvl w:ilvl="0" w:tplc="71B4764E">
      <w:start w:val="1"/>
      <w:numFmt w:val="decimal"/>
      <w:lvlText w:val="%1."/>
      <w:lvlJc w:val="left"/>
      <w:pPr>
        <w:ind w:left="540" w:hanging="360"/>
      </w:pPr>
      <w:rPr>
        <w:rFonts w:ascii="Arial" w:eastAsia="Times New Roman" w:hAnsi="Arial" w:cs="Arial"/>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3AA80168"/>
    <w:multiLevelType w:val="hybridMultilevel"/>
    <w:tmpl w:val="D130AA1A"/>
    <w:lvl w:ilvl="0" w:tplc="D50E21EC">
      <w:start w:val="1989"/>
      <w:numFmt w:val="decimal"/>
      <w:lvlText w:val="%1"/>
      <w:lvlJc w:val="left"/>
      <w:pPr>
        <w:tabs>
          <w:tab w:val="num" w:pos="2520"/>
        </w:tabs>
        <w:ind w:left="2520" w:hanging="1440"/>
      </w:pPr>
      <w:rPr>
        <w:rFonts w:hint="default"/>
      </w:rPr>
    </w:lvl>
    <w:lvl w:ilvl="1" w:tplc="C4BE4558">
      <w:start w:val="45"/>
      <w:numFmt w:val="decimal"/>
      <w:lvlText w:val="%2."/>
      <w:lvlJc w:val="left"/>
      <w:pPr>
        <w:tabs>
          <w:tab w:val="num" w:pos="2520"/>
        </w:tabs>
        <w:ind w:left="2520" w:hanging="720"/>
      </w:pPr>
      <w:rPr>
        <w:rFonts w:hint="default"/>
      </w:rPr>
    </w:lvl>
    <w:lvl w:ilvl="2" w:tplc="BB60FA22">
      <w:start w:val="1"/>
      <w:numFmt w:val="lowerRoman"/>
      <w:lvlText w:val="%3."/>
      <w:lvlJc w:val="right"/>
      <w:pPr>
        <w:tabs>
          <w:tab w:val="num" w:pos="2880"/>
        </w:tabs>
        <w:ind w:left="2880" w:hanging="180"/>
      </w:pPr>
    </w:lvl>
    <w:lvl w:ilvl="3" w:tplc="8D36EA44" w:tentative="1">
      <w:start w:val="1"/>
      <w:numFmt w:val="decimal"/>
      <w:lvlText w:val="%4."/>
      <w:lvlJc w:val="left"/>
      <w:pPr>
        <w:tabs>
          <w:tab w:val="num" w:pos="3600"/>
        </w:tabs>
        <w:ind w:left="3600" w:hanging="360"/>
      </w:pPr>
    </w:lvl>
    <w:lvl w:ilvl="4" w:tplc="CBFC3EDA" w:tentative="1">
      <w:start w:val="1"/>
      <w:numFmt w:val="lowerLetter"/>
      <w:lvlText w:val="%5."/>
      <w:lvlJc w:val="left"/>
      <w:pPr>
        <w:tabs>
          <w:tab w:val="num" w:pos="4320"/>
        </w:tabs>
        <w:ind w:left="4320" w:hanging="360"/>
      </w:pPr>
    </w:lvl>
    <w:lvl w:ilvl="5" w:tplc="9DAE8B3A" w:tentative="1">
      <w:start w:val="1"/>
      <w:numFmt w:val="lowerRoman"/>
      <w:lvlText w:val="%6."/>
      <w:lvlJc w:val="right"/>
      <w:pPr>
        <w:tabs>
          <w:tab w:val="num" w:pos="5040"/>
        </w:tabs>
        <w:ind w:left="5040" w:hanging="180"/>
      </w:pPr>
    </w:lvl>
    <w:lvl w:ilvl="6" w:tplc="A3DA92FE" w:tentative="1">
      <w:start w:val="1"/>
      <w:numFmt w:val="decimal"/>
      <w:lvlText w:val="%7."/>
      <w:lvlJc w:val="left"/>
      <w:pPr>
        <w:tabs>
          <w:tab w:val="num" w:pos="5760"/>
        </w:tabs>
        <w:ind w:left="5760" w:hanging="360"/>
      </w:pPr>
    </w:lvl>
    <w:lvl w:ilvl="7" w:tplc="9CAE4CC2" w:tentative="1">
      <w:start w:val="1"/>
      <w:numFmt w:val="lowerLetter"/>
      <w:lvlText w:val="%8."/>
      <w:lvlJc w:val="left"/>
      <w:pPr>
        <w:tabs>
          <w:tab w:val="num" w:pos="6480"/>
        </w:tabs>
        <w:ind w:left="6480" w:hanging="360"/>
      </w:pPr>
    </w:lvl>
    <w:lvl w:ilvl="8" w:tplc="08FAB9A0" w:tentative="1">
      <w:start w:val="1"/>
      <w:numFmt w:val="lowerRoman"/>
      <w:lvlText w:val="%9."/>
      <w:lvlJc w:val="right"/>
      <w:pPr>
        <w:tabs>
          <w:tab w:val="num" w:pos="7200"/>
        </w:tabs>
        <w:ind w:left="7200" w:hanging="180"/>
      </w:pPr>
    </w:lvl>
  </w:abstractNum>
  <w:abstractNum w:abstractNumId="24" w15:restartNumberingAfterBreak="0">
    <w:nsid w:val="3B864B5C"/>
    <w:multiLevelType w:val="hybridMultilevel"/>
    <w:tmpl w:val="A96AEDA8"/>
    <w:lvl w:ilvl="0" w:tplc="FA4CCF6C">
      <w:start w:val="1"/>
      <w:numFmt w:val="lowerLetter"/>
      <w:lvlText w:val="%1."/>
      <w:lvlJc w:val="left"/>
      <w:pPr>
        <w:ind w:left="6210" w:hanging="360"/>
      </w:pPr>
      <w:rPr>
        <w:rFonts w:cs="Arial"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0454AE4"/>
    <w:multiLevelType w:val="multilevel"/>
    <w:tmpl w:val="7E82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545306"/>
    <w:multiLevelType w:val="multilevel"/>
    <w:tmpl w:val="ACAC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FB70B0"/>
    <w:multiLevelType w:val="hybridMultilevel"/>
    <w:tmpl w:val="60A865C6"/>
    <w:lvl w:ilvl="0" w:tplc="04090019">
      <w:start w:val="2"/>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6376A0"/>
    <w:multiLevelType w:val="hybridMultilevel"/>
    <w:tmpl w:val="D70221F2"/>
    <w:lvl w:ilvl="0" w:tplc="D16A8A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15:restartNumberingAfterBreak="0">
    <w:nsid w:val="4DB3128E"/>
    <w:multiLevelType w:val="hybridMultilevel"/>
    <w:tmpl w:val="E53E34D6"/>
    <w:lvl w:ilvl="0" w:tplc="83385B52">
      <w:start w:val="1"/>
      <w:numFmt w:val="lowerLetter"/>
      <w:lvlText w:val="%1."/>
      <w:lvlJc w:val="left"/>
      <w:pPr>
        <w:ind w:left="720" w:hanging="360"/>
      </w:pPr>
      <w:rPr>
        <w:rFonts w:eastAsia="Time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B2614"/>
    <w:multiLevelType w:val="hybridMultilevel"/>
    <w:tmpl w:val="4F6C3A9A"/>
    <w:lvl w:ilvl="0" w:tplc="D72C6F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F857CF"/>
    <w:multiLevelType w:val="hybridMultilevel"/>
    <w:tmpl w:val="DCAAF6C4"/>
    <w:lvl w:ilvl="0" w:tplc="7D62B462">
      <w:start w:val="1"/>
      <w:numFmt w:val="lowerLetter"/>
      <w:lvlText w:val="%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CFA2DC8"/>
    <w:multiLevelType w:val="hybridMultilevel"/>
    <w:tmpl w:val="2B221ACE"/>
    <w:lvl w:ilvl="0" w:tplc="7A187BD6">
      <w:start w:val="199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A31FD4"/>
    <w:multiLevelType w:val="hybridMultilevel"/>
    <w:tmpl w:val="A8A8C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8" w15:restartNumberingAfterBreak="0">
    <w:nsid w:val="769C1279"/>
    <w:multiLevelType w:val="hybridMultilevel"/>
    <w:tmpl w:val="C1C2BB36"/>
    <w:lvl w:ilvl="0" w:tplc="A92EF5D0">
      <w:start w:val="1"/>
      <w:numFmt w:val="decimal"/>
      <w:lvlText w:val="%1."/>
      <w:lvlJc w:val="left"/>
      <w:pPr>
        <w:ind w:left="360" w:hanging="360"/>
      </w:pPr>
      <w:rPr>
        <w:rFonts w:hint="default"/>
        <w:b w:val="0"/>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8167832">
    <w:abstractNumId w:val="9"/>
  </w:num>
  <w:num w:numId="2" w16cid:durableId="921598984">
    <w:abstractNumId w:val="7"/>
  </w:num>
  <w:num w:numId="3" w16cid:durableId="1829662469">
    <w:abstractNumId w:val="6"/>
  </w:num>
  <w:num w:numId="4" w16cid:durableId="656686451">
    <w:abstractNumId w:val="5"/>
  </w:num>
  <w:num w:numId="5" w16cid:durableId="900095731">
    <w:abstractNumId w:val="4"/>
  </w:num>
  <w:num w:numId="6" w16cid:durableId="1998607603">
    <w:abstractNumId w:val="8"/>
  </w:num>
  <w:num w:numId="7" w16cid:durableId="267659123">
    <w:abstractNumId w:val="3"/>
  </w:num>
  <w:num w:numId="8" w16cid:durableId="1279753064">
    <w:abstractNumId w:val="2"/>
  </w:num>
  <w:num w:numId="9" w16cid:durableId="1745369293">
    <w:abstractNumId w:val="1"/>
  </w:num>
  <w:num w:numId="10" w16cid:durableId="564068766">
    <w:abstractNumId w:val="0"/>
  </w:num>
  <w:num w:numId="11" w16cid:durableId="512301631">
    <w:abstractNumId w:val="0"/>
  </w:num>
  <w:num w:numId="12" w16cid:durableId="680861770">
    <w:abstractNumId w:val="29"/>
  </w:num>
  <w:num w:numId="13" w16cid:durableId="2041785816">
    <w:abstractNumId w:val="13"/>
  </w:num>
  <w:num w:numId="14" w16cid:durableId="1301109019">
    <w:abstractNumId w:val="37"/>
  </w:num>
  <w:num w:numId="15" w16cid:durableId="1450708992">
    <w:abstractNumId w:val="35"/>
  </w:num>
  <w:num w:numId="16" w16cid:durableId="1304651265">
    <w:abstractNumId w:val="36"/>
  </w:num>
  <w:num w:numId="17" w16cid:durableId="965888727">
    <w:abstractNumId w:val="10"/>
  </w:num>
  <w:num w:numId="18" w16cid:durableId="1388145526">
    <w:abstractNumId w:val="20"/>
  </w:num>
  <w:num w:numId="19" w16cid:durableId="98336696">
    <w:abstractNumId w:val="38"/>
  </w:num>
  <w:num w:numId="20" w16cid:durableId="1350640490">
    <w:abstractNumId w:val="15"/>
  </w:num>
  <w:num w:numId="21" w16cid:durableId="2101639331">
    <w:abstractNumId w:val="32"/>
  </w:num>
  <w:num w:numId="22" w16cid:durableId="448203124">
    <w:abstractNumId w:val="22"/>
  </w:num>
  <w:num w:numId="23" w16cid:durableId="760759468">
    <w:abstractNumId w:val="24"/>
  </w:num>
  <w:num w:numId="24" w16cid:durableId="1274552318">
    <w:abstractNumId w:val="30"/>
  </w:num>
  <w:num w:numId="25" w16cid:durableId="1791170399">
    <w:abstractNumId w:val="21"/>
  </w:num>
  <w:num w:numId="26" w16cid:durableId="1017149345">
    <w:abstractNumId w:val="17"/>
  </w:num>
  <w:num w:numId="27" w16cid:durableId="858660952">
    <w:abstractNumId w:val="23"/>
  </w:num>
  <w:num w:numId="28" w16cid:durableId="1160928113">
    <w:abstractNumId w:val="19"/>
  </w:num>
  <w:num w:numId="29" w16cid:durableId="1384138842">
    <w:abstractNumId w:val="33"/>
  </w:num>
  <w:num w:numId="30" w16cid:durableId="913004749">
    <w:abstractNumId w:val="26"/>
  </w:num>
  <w:num w:numId="31" w16cid:durableId="2007129610">
    <w:abstractNumId w:val="25"/>
  </w:num>
  <w:num w:numId="32" w16cid:durableId="1943415043">
    <w:abstractNumId w:val="16"/>
  </w:num>
  <w:num w:numId="33" w16cid:durableId="520583434">
    <w:abstractNumId w:val="31"/>
  </w:num>
  <w:num w:numId="34" w16cid:durableId="332756883">
    <w:abstractNumId w:val="27"/>
  </w:num>
  <w:num w:numId="35" w16cid:durableId="139006229">
    <w:abstractNumId w:val="34"/>
  </w:num>
  <w:num w:numId="36" w16cid:durableId="798183691">
    <w:abstractNumId w:val="11"/>
  </w:num>
  <w:num w:numId="37" w16cid:durableId="555553934">
    <w:abstractNumId w:val="18"/>
  </w:num>
  <w:num w:numId="38" w16cid:durableId="1596554787">
    <w:abstractNumId w:val="14"/>
  </w:num>
  <w:num w:numId="39" w16cid:durableId="153959408">
    <w:abstractNumId w:val="12"/>
  </w:num>
  <w:num w:numId="40" w16cid:durableId="19352876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46FB"/>
    <w:rsid w:val="00007231"/>
    <w:rsid w:val="00023A7A"/>
    <w:rsid w:val="00023BF6"/>
    <w:rsid w:val="000251E9"/>
    <w:rsid w:val="00067621"/>
    <w:rsid w:val="00084466"/>
    <w:rsid w:val="00097D3C"/>
    <w:rsid w:val="000A6DF1"/>
    <w:rsid w:val="000E3BEC"/>
    <w:rsid w:val="000E40FC"/>
    <w:rsid w:val="00106DA1"/>
    <w:rsid w:val="00122EB3"/>
    <w:rsid w:val="00132CA6"/>
    <w:rsid w:val="0014571A"/>
    <w:rsid w:val="00170D87"/>
    <w:rsid w:val="00177D49"/>
    <w:rsid w:val="00182189"/>
    <w:rsid w:val="00183022"/>
    <w:rsid w:val="0018610C"/>
    <w:rsid w:val="001870CF"/>
    <w:rsid w:val="001A5E20"/>
    <w:rsid w:val="001B05B8"/>
    <w:rsid w:val="001C065C"/>
    <w:rsid w:val="001C2910"/>
    <w:rsid w:val="001C78E6"/>
    <w:rsid w:val="001F7FB5"/>
    <w:rsid w:val="00202565"/>
    <w:rsid w:val="00203DD5"/>
    <w:rsid w:val="00203DE9"/>
    <w:rsid w:val="002273B5"/>
    <w:rsid w:val="00231F5C"/>
    <w:rsid w:val="002506F6"/>
    <w:rsid w:val="0028051C"/>
    <w:rsid w:val="002A70D9"/>
    <w:rsid w:val="002A7BC6"/>
    <w:rsid w:val="002B7443"/>
    <w:rsid w:val="002C4808"/>
    <w:rsid w:val="002C51BC"/>
    <w:rsid w:val="002D2696"/>
    <w:rsid w:val="002D7520"/>
    <w:rsid w:val="002E2CA2"/>
    <w:rsid w:val="002E4000"/>
    <w:rsid w:val="002E5125"/>
    <w:rsid w:val="002F151F"/>
    <w:rsid w:val="002F1CFF"/>
    <w:rsid w:val="00307C9E"/>
    <w:rsid w:val="00321A19"/>
    <w:rsid w:val="0033187B"/>
    <w:rsid w:val="0035045F"/>
    <w:rsid w:val="0037667F"/>
    <w:rsid w:val="00382AB6"/>
    <w:rsid w:val="00383712"/>
    <w:rsid w:val="00390078"/>
    <w:rsid w:val="003B002C"/>
    <w:rsid w:val="003C2647"/>
    <w:rsid w:val="003C3CA5"/>
    <w:rsid w:val="003C62D6"/>
    <w:rsid w:val="003D2399"/>
    <w:rsid w:val="003E4A92"/>
    <w:rsid w:val="003F3F84"/>
    <w:rsid w:val="003F6A45"/>
    <w:rsid w:val="0040289D"/>
    <w:rsid w:val="00432346"/>
    <w:rsid w:val="00447F3A"/>
    <w:rsid w:val="00452885"/>
    <w:rsid w:val="00455C98"/>
    <w:rsid w:val="004759D9"/>
    <w:rsid w:val="0049068A"/>
    <w:rsid w:val="00491649"/>
    <w:rsid w:val="00493D23"/>
    <w:rsid w:val="004A344A"/>
    <w:rsid w:val="004A3FC8"/>
    <w:rsid w:val="004B4DE8"/>
    <w:rsid w:val="004C2A7C"/>
    <w:rsid w:val="004E09D0"/>
    <w:rsid w:val="00503B57"/>
    <w:rsid w:val="005145BB"/>
    <w:rsid w:val="00514DB6"/>
    <w:rsid w:val="00517BFD"/>
    <w:rsid w:val="0054471F"/>
    <w:rsid w:val="005461F3"/>
    <w:rsid w:val="00547118"/>
    <w:rsid w:val="00547AC9"/>
    <w:rsid w:val="00555C7B"/>
    <w:rsid w:val="005618F7"/>
    <w:rsid w:val="00592740"/>
    <w:rsid w:val="005A7F6F"/>
    <w:rsid w:val="005C2BDD"/>
    <w:rsid w:val="005C2CF8"/>
    <w:rsid w:val="005C47A8"/>
    <w:rsid w:val="005E406E"/>
    <w:rsid w:val="005F0B12"/>
    <w:rsid w:val="005F5366"/>
    <w:rsid w:val="005F5A07"/>
    <w:rsid w:val="005F5F51"/>
    <w:rsid w:val="00601C69"/>
    <w:rsid w:val="00605FCD"/>
    <w:rsid w:val="00614454"/>
    <w:rsid w:val="00616BCC"/>
    <w:rsid w:val="00624261"/>
    <w:rsid w:val="00646AF9"/>
    <w:rsid w:val="00656AB8"/>
    <w:rsid w:val="006609B6"/>
    <w:rsid w:val="00671588"/>
    <w:rsid w:val="00685B3E"/>
    <w:rsid w:val="0068699D"/>
    <w:rsid w:val="0069110E"/>
    <w:rsid w:val="00696120"/>
    <w:rsid w:val="006A353C"/>
    <w:rsid w:val="006A37D5"/>
    <w:rsid w:val="006A56FC"/>
    <w:rsid w:val="006B0CEB"/>
    <w:rsid w:val="006B2D1C"/>
    <w:rsid w:val="006B51BF"/>
    <w:rsid w:val="006B6068"/>
    <w:rsid w:val="006C1E1F"/>
    <w:rsid w:val="006E6FB5"/>
    <w:rsid w:val="006F07AD"/>
    <w:rsid w:val="007050F5"/>
    <w:rsid w:val="0071140F"/>
    <w:rsid w:val="00714D63"/>
    <w:rsid w:val="00722C8F"/>
    <w:rsid w:val="00725B2D"/>
    <w:rsid w:val="0073072C"/>
    <w:rsid w:val="007559EA"/>
    <w:rsid w:val="00762E18"/>
    <w:rsid w:val="00763DE9"/>
    <w:rsid w:val="00767091"/>
    <w:rsid w:val="00767420"/>
    <w:rsid w:val="00781234"/>
    <w:rsid w:val="007B425D"/>
    <w:rsid w:val="007B7AF3"/>
    <w:rsid w:val="007D434C"/>
    <w:rsid w:val="007D6D24"/>
    <w:rsid w:val="007E6E1E"/>
    <w:rsid w:val="007F06BE"/>
    <w:rsid w:val="007F5378"/>
    <w:rsid w:val="008073EB"/>
    <w:rsid w:val="00843027"/>
    <w:rsid w:val="00861A7C"/>
    <w:rsid w:val="0086281D"/>
    <w:rsid w:val="0086410D"/>
    <w:rsid w:val="00873917"/>
    <w:rsid w:val="00874EBC"/>
    <w:rsid w:val="0087514A"/>
    <w:rsid w:val="00883C71"/>
    <w:rsid w:val="00890CA9"/>
    <w:rsid w:val="008944DB"/>
    <w:rsid w:val="008D59ED"/>
    <w:rsid w:val="008D75CE"/>
    <w:rsid w:val="008F211B"/>
    <w:rsid w:val="00915571"/>
    <w:rsid w:val="009211D3"/>
    <w:rsid w:val="00922803"/>
    <w:rsid w:val="00933173"/>
    <w:rsid w:val="00934124"/>
    <w:rsid w:val="00952A27"/>
    <w:rsid w:val="00977FA5"/>
    <w:rsid w:val="009B0968"/>
    <w:rsid w:val="009B3EAE"/>
    <w:rsid w:val="009B6CA0"/>
    <w:rsid w:val="009C6C5C"/>
    <w:rsid w:val="009D084D"/>
    <w:rsid w:val="009D7E97"/>
    <w:rsid w:val="009E52CA"/>
    <w:rsid w:val="009F72E5"/>
    <w:rsid w:val="009F75C6"/>
    <w:rsid w:val="00A021F0"/>
    <w:rsid w:val="00A03FFA"/>
    <w:rsid w:val="00A04942"/>
    <w:rsid w:val="00A04B52"/>
    <w:rsid w:val="00A1469B"/>
    <w:rsid w:val="00A14EF5"/>
    <w:rsid w:val="00A208BC"/>
    <w:rsid w:val="00A26D0F"/>
    <w:rsid w:val="00A42D9B"/>
    <w:rsid w:val="00A50A8B"/>
    <w:rsid w:val="00A55D1D"/>
    <w:rsid w:val="00A617AF"/>
    <w:rsid w:val="00A63D7C"/>
    <w:rsid w:val="00A7514C"/>
    <w:rsid w:val="00A8122C"/>
    <w:rsid w:val="00A83312"/>
    <w:rsid w:val="00AD6E08"/>
    <w:rsid w:val="00AE41C4"/>
    <w:rsid w:val="00AF5806"/>
    <w:rsid w:val="00B24A96"/>
    <w:rsid w:val="00B8003A"/>
    <w:rsid w:val="00B91BC2"/>
    <w:rsid w:val="00BB7382"/>
    <w:rsid w:val="00BC084D"/>
    <w:rsid w:val="00BD3EA9"/>
    <w:rsid w:val="00C05C55"/>
    <w:rsid w:val="00C076C6"/>
    <w:rsid w:val="00C07D49"/>
    <w:rsid w:val="00C1247F"/>
    <w:rsid w:val="00C137DA"/>
    <w:rsid w:val="00C20F69"/>
    <w:rsid w:val="00C229A4"/>
    <w:rsid w:val="00C307F1"/>
    <w:rsid w:val="00C3113F"/>
    <w:rsid w:val="00C42FD1"/>
    <w:rsid w:val="00C44AEB"/>
    <w:rsid w:val="00C4536F"/>
    <w:rsid w:val="00C46ADA"/>
    <w:rsid w:val="00C5717F"/>
    <w:rsid w:val="00C8438D"/>
    <w:rsid w:val="00C85025"/>
    <w:rsid w:val="00C918BD"/>
    <w:rsid w:val="00C94E59"/>
    <w:rsid w:val="00CA680A"/>
    <w:rsid w:val="00CB0C73"/>
    <w:rsid w:val="00CE0951"/>
    <w:rsid w:val="00CF68A2"/>
    <w:rsid w:val="00CF6FAD"/>
    <w:rsid w:val="00D12673"/>
    <w:rsid w:val="00D217FF"/>
    <w:rsid w:val="00D236E7"/>
    <w:rsid w:val="00D3779E"/>
    <w:rsid w:val="00D43000"/>
    <w:rsid w:val="00D679E5"/>
    <w:rsid w:val="00D74391"/>
    <w:rsid w:val="00D76511"/>
    <w:rsid w:val="00D83360"/>
    <w:rsid w:val="00D86246"/>
    <w:rsid w:val="00DA4B7F"/>
    <w:rsid w:val="00DB7B85"/>
    <w:rsid w:val="00DD023A"/>
    <w:rsid w:val="00DD31B4"/>
    <w:rsid w:val="00DE5983"/>
    <w:rsid w:val="00DF0E87"/>
    <w:rsid w:val="00DF7406"/>
    <w:rsid w:val="00DF7645"/>
    <w:rsid w:val="00E03323"/>
    <w:rsid w:val="00E047AD"/>
    <w:rsid w:val="00E12287"/>
    <w:rsid w:val="00E123B1"/>
    <w:rsid w:val="00E127A1"/>
    <w:rsid w:val="00E15579"/>
    <w:rsid w:val="00E20E6D"/>
    <w:rsid w:val="00E355C2"/>
    <w:rsid w:val="00E469D4"/>
    <w:rsid w:val="00E53B95"/>
    <w:rsid w:val="00E67A05"/>
    <w:rsid w:val="00E74AB7"/>
    <w:rsid w:val="00E81FE1"/>
    <w:rsid w:val="00E90203"/>
    <w:rsid w:val="00E94745"/>
    <w:rsid w:val="00E96517"/>
    <w:rsid w:val="00EA0405"/>
    <w:rsid w:val="00EB16FB"/>
    <w:rsid w:val="00ED35D7"/>
    <w:rsid w:val="00ED61AB"/>
    <w:rsid w:val="00ED7EBA"/>
    <w:rsid w:val="00EE1B4E"/>
    <w:rsid w:val="00EF4C32"/>
    <w:rsid w:val="00EF69CD"/>
    <w:rsid w:val="00F02126"/>
    <w:rsid w:val="00F07AB3"/>
    <w:rsid w:val="00F262AB"/>
    <w:rsid w:val="00F36386"/>
    <w:rsid w:val="00F544EA"/>
    <w:rsid w:val="00F63164"/>
    <w:rsid w:val="00F7284D"/>
    <w:rsid w:val="00F909DA"/>
    <w:rsid w:val="00F94A2B"/>
    <w:rsid w:val="00FA00C6"/>
    <w:rsid w:val="00FC5F9E"/>
    <w:rsid w:val="00FD295B"/>
    <w:rsid w:val="00FE10AD"/>
    <w:rsid w:val="00FE40EE"/>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E469D4"/>
    <w:pPr>
      <w:ind w:left="720"/>
      <w:contextualSpacing/>
    </w:pPr>
  </w:style>
  <w:style w:type="paragraph" w:styleId="Footer">
    <w:name w:val="footer"/>
    <w:basedOn w:val="Normal"/>
    <w:link w:val="FooterChar"/>
    <w:rsid w:val="000046FB"/>
    <w:pPr>
      <w:tabs>
        <w:tab w:val="center" w:pos="4680"/>
        <w:tab w:val="right" w:pos="9360"/>
      </w:tabs>
    </w:pPr>
  </w:style>
  <w:style w:type="character" w:customStyle="1" w:styleId="FooterChar">
    <w:name w:val="Footer Char"/>
    <w:basedOn w:val="DefaultParagraphFont"/>
    <w:link w:val="Footer"/>
    <w:rsid w:val="000046FB"/>
    <w:rPr>
      <w:rFonts w:ascii="Arial" w:hAnsi="Arial"/>
      <w:sz w:val="22"/>
      <w:szCs w:val="24"/>
    </w:rPr>
  </w:style>
  <w:style w:type="character" w:styleId="UnresolvedMention">
    <w:name w:val="Unresolved Mention"/>
    <w:basedOn w:val="DefaultParagraphFont"/>
    <w:uiPriority w:val="99"/>
    <w:semiHidden/>
    <w:unhideWhenUsed/>
    <w:rsid w:val="00F36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30201">
      <w:bodyDiv w:val="1"/>
      <w:marLeft w:val="0"/>
      <w:marRight w:val="0"/>
      <w:marTop w:val="0"/>
      <w:marBottom w:val="0"/>
      <w:divBdr>
        <w:top w:val="none" w:sz="0" w:space="0" w:color="auto"/>
        <w:left w:val="none" w:sz="0" w:space="0" w:color="auto"/>
        <w:bottom w:val="none" w:sz="0" w:space="0" w:color="auto"/>
        <w:right w:val="none" w:sz="0" w:space="0" w:color="auto"/>
      </w:divBdr>
    </w:div>
    <w:div w:id="203756677">
      <w:bodyDiv w:val="1"/>
      <w:marLeft w:val="0"/>
      <w:marRight w:val="0"/>
      <w:marTop w:val="0"/>
      <w:marBottom w:val="0"/>
      <w:divBdr>
        <w:top w:val="none" w:sz="0" w:space="0" w:color="auto"/>
        <w:left w:val="none" w:sz="0" w:space="0" w:color="auto"/>
        <w:bottom w:val="none" w:sz="0" w:space="0" w:color="auto"/>
        <w:right w:val="none" w:sz="0" w:space="0" w:color="auto"/>
      </w:divBdr>
    </w:div>
    <w:div w:id="211307073">
      <w:bodyDiv w:val="1"/>
      <w:marLeft w:val="0"/>
      <w:marRight w:val="0"/>
      <w:marTop w:val="0"/>
      <w:marBottom w:val="0"/>
      <w:divBdr>
        <w:top w:val="none" w:sz="0" w:space="0" w:color="auto"/>
        <w:left w:val="none" w:sz="0" w:space="0" w:color="auto"/>
        <w:bottom w:val="none" w:sz="0" w:space="0" w:color="auto"/>
        <w:right w:val="none" w:sz="0" w:space="0" w:color="auto"/>
      </w:divBdr>
    </w:div>
    <w:div w:id="459685300">
      <w:bodyDiv w:val="1"/>
      <w:marLeft w:val="0"/>
      <w:marRight w:val="0"/>
      <w:marTop w:val="0"/>
      <w:marBottom w:val="0"/>
      <w:divBdr>
        <w:top w:val="none" w:sz="0" w:space="0" w:color="auto"/>
        <w:left w:val="none" w:sz="0" w:space="0" w:color="auto"/>
        <w:bottom w:val="none" w:sz="0" w:space="0" w:color="auto"/>
        <w:right w:val="none" w:sz="0" w:space="0" w:color="auto"/>
      </w:divBdr>
    </w:div>
    <w:div w:id="519050884">
      <w:bodyDiv w:val="1"/>
      <w:marLeft w:val="0"/>
      <w:marRight w:val="0"/>
      <w:marTop w:val="0"/>
      <w:marBottom w:val="0"/>
      <w:divBdr>
        <w:top w:val="none" w:sz="0" w:space="0" w:color="auto"/>
        <w:left w:val="none" w:sz="0" w:space="0" w:color="auto"/>
        <w:bottom w:val="none" w:sz="0" w:space="0" w:color="auto"/>
        <w:right w:val="none" w:sz="0" w:space="0" w:color="auto"/>
      </w:divBdr>
    </w:div>
    <w:div w:id="569116224">
      <w:bodyDiv w:val="1"/>
      <w:marLeft w:val="0"/>
      <w:marRight w:val="0"/>
      <w:marTop w:val="0"/>
      <w:marBottom w:val="0"/>
      <w:divBdr>
        <w:top w:val="none" w:sz="0" w:space="0" w:color="auto"/>
        <w:left w:val="none" w:sz="0" w:space="0" w:color="auto"/>
        <w:bottom w:val="none" w:sz="0" w:space="0" w:color="auto"/>
        <w:right w:val="none" w:sz="0" w:space="0" w:color="auto"/>
      </w:divBdr>
    </w:div>
    <w:div w:id="646398246">
      <w:bodyDiv w:val="1"/>
      <w:marLeft w:val="0"/>
      <w:marRight w:val="0"/>
      <w:marTop w:val="0"/>
      <w:marBottom w:val="0"/>
      <w:divBdr>
        <w:top w:val="none" w:sz="0" w:space="0" w:color="auto"/>
        <w:left w:val="none" w:sz="0" w:space="0" w:color="auto"/>
        <w:bottom w:val="none" w:sz="0" w:space="0" w:color="auto"/>
        <w:right w:val="none" w:sz="0" w:space="0" w:color="auto"/>
      </w:divBdr>
    </w:div>
    <w:div w:id="750199033">
      <w:bodyDiv w:val="1"/>
      <w:marLeft w:val="0"/>
      <w:marRight w:val="0"/>
      <w:marTop w:val="0"/>
      <w:marBottom w:val="0"/>
      <w:divBdr>
        <w:top w:val="none" w:sz="0" w:space="0" w:color="auto"/>
        <w:left w:val="none" w:sz="0" w:space="0" w:color="auto"/>
        <w:bottom w:val="none" w:sz="0" w:space="0" w:color="auto"/>
        <w:right w:val="none" w:sz="0" w:space="0" w:color="auto"/>
      </w:divBdr>
    </w:div>
    <w:div w:id="908536622">
      <w:bodyDiv w:val="1"/>
      <w:marLeft w:val="0"/>
      <w:marRight w:val="0"/>
      <w:marTop w:val="0"/>
      <w:marBottom w:val="0"/>
      <w:divBdr>
        <w:top w:val="none" w:sz="0" w:space="0" w:color="auto"/>
        <w:left w:val="none" w:sz="0" w:space="0" w:color="auto"/>
        <w:bottom w:val="none" w:sz="0" w:space="0" w:color="auto"/>
        <w:right w:val="none" w:sz="0" w:space="0" w:color="auto"/>
      </w:divBdr>
    </w:div>
    <w:div w:id="205777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bi.nlm.nih.gov/myncbi/ernestina.schipani.1/bibliography/publ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mc.ncbi.nlm.nih.gov/articles/PMC7255488/"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mc.ncbi.nlm.nih.gov/articles/PMC1145786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2953</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19747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Laslow, Brittany</cp:lastModifiedBy>
  <cp:revision>2</cp:revision>
  <cp:lastPrinted>2011-03-11T19:43:00Z</cp:lastPrinted>
  <dcterms:created xsi:type="dcterms:W3CDTF">2025-07-10T17:06:00Z</dcterms:created>
  <dcterms:modified xsi:type="dcterms:W3CDTF">2025-07-10T17:06:00Z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